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486AB" w14:textId="68CF360B" w:rsidR="004F76C5" w:rsidRDefault="004F76C5"/>
    <w:tbl>
      <w:tblPr>
        <w:tblW w:w="10491" w:type="dxa"/>
        <w:tblInd w:w="-885" w:type="dxa"/>
        <w:tblBorders>
          <w:right w:val="single" w:sz="24" w:space="0" w:color="BABA72"/>
        </w:tblBorders>
        <w:tblLayout w:type="fixed"/>
        <w:tblLook w:val="04A0" w:firstRow="1" w:lastRow="0" w:firstColumn="1" w:lastColumn="0" w:noHBand="0" w:noVBand="1"/>
      </w:tblPr>
      <w:tblGrid>
        <w:gridCol w:w="2411"/>
        <w:gridCol w:w="8080"/>
      </w:tblGrid>
      <w:tr w:rsidR="00DB3312" w:rsidRPr="00E02E52" w14:paraId="5C3F9017" w14:textId="77777777" w:rsidTr="00E5714F">
        <w:trPr>
          <w:trHeight w:val="14034"/>
        </w:trPr>
        <w:tc>
          <w:tcPr>
            <w:tcW w:w="2411" w:type="dxa"/>
            <w:tcBorders>
              <w:right w:val="single" w:sz="8" w:space="0" w:color="BABA72"/>
            </w:tcBorders>
          </w:tcPr>
          <w:p w14:paraId="0A645441" w14:textId="1D3E199A" w:rsidR="00DB3312" w:rsidRPr="00E02E52" w:rsidRDefault="004F76C5" w:rsidP="00E5714F">
            <w:pPr>
              <w:spacing w:after="360" w:line="240" w:lineRule="auto"/>
              <w:rPr>
                <w:rFonts w:ascii="Cambria" w:hAnsi="Cambria"/>
                <w:sz w:val="16"/>
                <w:szCs w:val="20"/>
              </w:rPr>
            </w:pPr>
            <w:r>
              <w:br w:type="page"/>
            </w:r>
            <w:r w:rsidR="00DB3312" w:rsidRPr="00E02E52">
              <w:rPr>
                <w:rFonts w:ascii="Cambria" w:hAnsi="Cambria"/>
                <w:color w:val="000066"/>
                <w:sz w:val="16"/>
                <w:szCs w:val="20"/>
              </w:rPr>
              <w:t>Australasian College for Emergency Medicine</w:t>
            </w:r>
          </w:p>
          <w:p w14:paraId="460107BF" w14:textId="77777777" w:rsidR="00DB3312" w:rsidRDefault="00DB3312" w:rsidP="001B44F5">
            <w:pPr>
              <w:spacing w:before="480" w:after="360" w:line="240" w:lineRule="auto"/>
              <w:rPr>
                <w:rFonts w:ascii="Cambria" w:hAnsi="Cambria"/>
                <w:color w:val="000066"/>
                <w:sz w:val="16"/>
                <w:szCs w:val="20"/>
              </w:rPr>
            </w:pPr>
            <w:r w:rsidRPr="00E02E52">
              <w:rPr>
                <w:rFonts w:ascii="Cambria" w:hAnsi="Cambria"/>
                <w:color w:val="000066"/>
                <w:sz w:val="16"/>
                <w:szCs w:val="20"/>
              </w:rPr>
              <w:t>Australian and New Zealand College of Anaesthetists</w:t>
            </w:r>
          </w:p>
          <w:p w14:paraId="309304D4" w14:textId="77777777" w:rsidR="00DB3312" w:rsidRDefault="00DB3312" w:rsidP="001B44F5">
            <w:pPr>
              <w:spacing w:before="480" w:after="360" w:line="240" w:lineRule="auto"/>
              <w:rPr>
                <w:rFonts w:ascii="Cambria" w:hAnsi="Cambria"/>
                <w:color w:val="000066"/>
                <w:sz w:val="16"/>
                <w:szCs w:val="20"/>
              </w:rPr>
            </w:pPr>
            <w:r>
              <w:rPr>
                <w:rFonts w:ascii="Cambria" w:hAnsi="Cambria"/>
                <w:color w:val="000066"/>
                <w:sz w:val="16"/>
                <w:szCs w:val="20"/>
              </w:rPr>
              <w:t>College of Intensive Care Medicine of Australia and New Zealand</w:t>
            </w:r>
          </w:p>
          <w:p w14:paraId="132CF5B6" w14:textId="77777777" w:rsidR="00DB3312" w:rsidRPr="00E02E52" w:rsidRDefault="00DB3312" w:rsidP="001B44F5">
            <w:pPr>
              <w:spacing w:before="480" w:after="360" w:line="240" w:lineRule="auto"/>
              <w:rPr>
                <w:rFonts w:ascii="Cambria" w:hAnsi="Cambria"/>
                <w:sz w:val="16"/>
                <w:szCs w:val="20"/>
              </w:rPr>
            </w:pPr>
            <w:r w:rsidRPr="00E02E52">
              <w:rPr>
                <w:rFonts w:ascii="Cambria" w:hAnsi="Cambria"/>
                <w:color w:val="000066"/>
                <w:sz w:val="16"/>
                <w:szCs w:val="20"/>
              </w:rPr>
              <w:t xml:space="preserve">New Zealand College of </w:t>
            </w:r>
            <w:r>
              <w:rPr>
                <w:rFonts w:ascii="Cambria" w:hAnsi="Cambria"/>
                <w:color w:val="000066"/>
                <w:sz w:val="16"/>
                <w:szCs w:val="20"/>
              </w:rPr>
              <w:t>Public Health Medicine</w:t>
            </w:r>
          </w:p>
          <w:p w14:paraId="3EDAFF8A" w14:textId="77777777" w:rsidR="00DB3312" w:rsidRPr="00E02E52" w:rsidRDefault="00DB3312" w:rsidP="001B44F5">
            <w:pPr>
              <w:spacing w:before="480" w:after="360" w:line="240" w:lineRule="auto"/>
              <w:rPr>
                <w:rFonts w:ascii="Cambria" w:hAnsi="Cambria"/>
                <w:sz w:val="16"/>
                <w:szCs w:val="20"/>
              </w:rPr>
            </w:pPr>
            <w:r w:rsidRPr="00E02E52">
              <w:rPr>
                <w:rFonts w:ascii="Cambria" w:hAnsi="Cambria"/>
                <w:color w:val="000066"/>
                <w:sz w:val="16"/>
                <w:szCs w:val="20"/>
              </w:rPr>
              <w:t>Royal Australasian College of Medical Administrators</w:t>
            </w:r>
          </w:p>
          <w:p w14:paraId="728A225A" w14:textId="77777777" w:rsidR="00DB3312" w:rsidRPr="00E02E52" w:rsidRDefault="00DB3312" w:rsidP="001B44F5">
            <w:pPr>
              <w:spacing w:before="480" w:after="360" w:line="240" w:lineRule="auto"/>
              <w:rPr>
                <w:rFonts w:ascii="Cambria" w:hAnsi="Cambria"/>
                <w:sz w:val="16"/>
                <w:szCs w:val="20"/>
              </w:rPr>
            </w:pPr>
            <w:r w:rsidRPr="00E02E52">
              <w:rPr>
                <w:rFonts w:ascii="Cambria" w:hAnsi="Cambria"/>
                <w:color w:val="000066"/>
                <w:sz w:val="16"/>
                <w:szCs w:val="20"/>
              </w:rPr>
              <w:t>Royal Australasian College of Surgeons</w:t>
            </w:r>
          </w:p>
          <w:p w14:paraId="3854D301" w14:textId="77777777" w:rsidR="00DB3312" w:rsidRPr="00E02E52" w:rsidRDefault="00DB3312" w:rsidP="001B44F5">
            <w:pPr>
              <w:spacing w:before="480" w:after="360" w:line="240" w:lineRule="auto"/>
              <w:rPr>
                <w:rFonts w:ascii="Cambria" w:hAnsi="Cambria"/>
                <w:sz w:val="16"/>
                <w:szCs w:val="20"/>
              </w:rPr>
            </w:pPr>
            <w:r w:rsidRPr="00E02E52">
              <w:rPr>
                <w:rFonts w:ascii="Cambria" w:hAnsi="Cambria"/>
                <w:color w:val="000066"/>
                <w:sz w:val="16"/>
                <w:szCs w:val="20"/>
              </w:rPr>
              <w:t>Royal Australian and New Zealand College of Obstetricians and Gynaecologists</w:t>
            </w:r>
          </w:p>
          <w:p w14:paraId="292F8E07" w14:textId="77777777" w:rsidR="00DB3312" w:rsidRPr="00E02E52" w:rsidRDefault="00DB3312" w:rsidP="001B44F5">
            <w:pPr>
              <w:spacing w:before="480" w:after="360" w:line="240" w:lineRule="auto"/>
              <w:rPr>
                <w:rFonts w:ascii="Cambria" w:hAnsi="Cambria"/>
                <w:color w:val="000066"/>
                <w:sz w:val="16"/>
                <w:szCs w:val="20"/>
              </w:rPr>
            </w:pPr>
            <w:r w:rsidRPr="00E02E52">
              <w:rPr>
                <w:rFonts w:ascii="Cambria" w:hAnsi="Cambria"/>
                <w:color w:val="000066"/>
                <w:sz w:val="16"/>
                <w:szCs w:val="20"/>
              </w:rPr>
              <w:t>The Royal Australian and New Zealand College of Ophthalmologists</w:t>
            </w:r>
          </w:p>
          <w:p w14:paraId="20687305" w14:textId="77777777" w:rsidR="00DB3312" w:rsidRPr="00E02E52" w:rsidRDefault="00DB3312" w:rsidP="001B44F5">
            <w:pPr>
              <w:spacing w:before="480" w:after="360" w:line="240" w:lineRule="auto"/>
              <w:rPr>
                <w:rFonts w:ascii="Cambria" w:hAnsi="Cambria"/>
                <w:color w:val="000066"/>
                <w:sz w:val="16"/>
                <w:szCs w:val="20"/>
              </w:rPr>
            </w:pPr>
            <w:r w:rsidRPr="00E02E52">
              <w:rPr>
                <w:rFonts w:ascii="Cambria" w:hAnsi="Cambria"/>
                <w:color w:val="000066"/>
                <w:sz w:val="16"/>
                <w:szCs w:val="20"/>
              </w:rPr>
              <w:t>The Royal Australasian College of Physicians</w:t>
            </w:r>
          </w:p>
          <w:p w14:paraId="62113D70" w14:textId="77777777" w:rsidR="00DB3312" w:rsidRPr="00E02E52" w:rsidRDefault="00DB3312" w:rsidP="001B44F5">
            <w:pPr>
              <w:spacing w:before="480" w:after="360" w:line="240" w:lineRule="auto"/>
              <w:rPr>
                <w:rFonts w:ascii="Cambria" w:hAnsi="Cambria"/>
                <w:color w:val="000066"/>
                <w:sz w:val="16"/>
                <w:szCs w:val="20"/>
              </w:rPr>
            </w:pPr>
            <w:r w:rsidRPr="00E02E52">
              <w:rPr>
                <w:rFonts w:ascii="Cambria" w:hAnsi="Cambria"/>
                <w:color w:val="000066"/>
                <w:sz w:val="16"/>
                <w:szCs w:val="20"/>
              </w:rPr>
              <w:t>The Royal Australian and New Zealand College of Psychiatrists</w:t>
            </w:r>
          </w:p>
          <w:p w14:paraId="4A6EDB7C" w14:textId="77777777" w:rsidR="00DB3312" w:rsidRPr="00E02E52" w:rsidRDefault="00DB3312" w:rsidP="001B44F5">
            <w:pPr>
              <w:spacing w:before="480" w:after="360" w:line="240" w:lineRule="auto"/>
              <w:rPr>
                <w:rFonts w:ascii="Cambria" w:hAnsi="Cambria"/>
                <w:color w:val="000066"/>
                <w:sz w:val="16"/>
                <w:szCs w:val="20"/>
              </w:rPr>
            </w:pPr>
            <w:r w:rsidRPr="00E02E52">
              <w:rPr>
                <w:rFonts w:ascii="Cambria" w:hAnsi="Cambria"/>
                <w:color w:val="000066"/>
                <w:sz w:val="16"/>
                <w:szCs w:val="20"/>
              </w:rPr>
              <w:t>The Royal Australian and New Zealand College of Radiologists</w:t>
            </w:r>
          </w:p>
          <w:p w14:paraId="19E7102C" w14:textId="77777777" w:rsidR="00DB3312" w:rsidRPr="00E02E52" w:rsidRDefault="00DB3312" w:rsidP="001B44F5">
            <w:pPr>
              <w:spacing w:before="480" w:after="360" w:line="240" w:lineRule="auto"/>
              <w:rPr>
                <w:rFonts w:ascii="Cambria" w:hAnsi="Cambria"/>
                <w:color w:val="000066"/>
                <w:sz w:val="16"/>
                <w:szCs w:val="20"/>
              </w:rPr>
            </w:pPr>
            <w:r w:rsidRPr="00E02E52">
              <w:rPr>
                <w:rFonts w:ascii="Cambria" w:hAnsi="Cambria"/>
                <w:color w:val="000066"/>
                <w:sz w:val="16"/>
                <w:szCs w:val="20"/>
              </w:rPr>
              <w:t>The Royal College of Pathologists of Australasia</w:t>
            </w:r>
          </w:p>
          <w:p w14:paraId="50641F95" w14:textId="77777777" w:rsidR="009B3FCF" w:rsidRDefault="00DB3312" w:rsidP="001B44F5">
            <w:pPr>
              <w:spacing w:before="480" w:after="360" w:line="240" w:lineRule="auto"/>
              <w:rPr>
                <w:rFonts w:ascii="Cambria" w:hAnsi="Cambria"/>
                <w:color w:val="000066"/>
                <w:sz w:val="16"/>
                <w:szCs w:val="20"/>
              </w:rPr>
            </w:pPr>
            <w:r w:rsidRPr="00E02E52">
              <w:rPr>
                <w:rFonts w:ascii="Cambria" w:hAnsi="Cambria"/>
                <w:color w:val="000066"/>
                <w:sz w:val="16"/>
                <w:szCs w:val="20"/>
              </w:rPr>
              <w:t>The Royal New Zealand College of General Practitioners</w:t>
            </w:r>
          </w:p>
          <w:p w14:paraId="2C1C686D" w14:textId="331AC5B2" w:rsidR="00450560" w:rsidRDefault="00E47DC8" w:rsidP="001B44F5">
            <w:pPr>
              <w:spacing w:before="480" w:after="360" w:line="240" w:lineRule="auto"/>
              <w:rPr>
                <w:rFonts w:ascii="Cambria" w:hAnsi="Cambria"/>
                <w:color w:val="000066"/>
                <w:sz w:val="16"/>
                <w:szCs w:val="20"/>
              </w:rPr>
            </w:pPr>
            <w:r>
              <w:rPr>
                <w:rFonts w:ascii="Cambria" w:hAnsi="Cambria"/>
                <w:color w:val="000066"/>
                <w:sz w:val="16"/>
                <w:szCs w:val="20"/>
              </w:rPr>
              <w:t xml:space="preserve">Royal New Zealand </w:t>
            </w:r>
            <w:r w:rsidR="009B3FCF">
              <w:rPr>
                <w:rFonts w:ascii="Cambria" w:hAnsi="Cambria"/>
                <w:color w:val="000066"/>
                <w:sz w:val="16"/>
                <w:szCs w:val="20"/>
              </w:rPr>
              <w:t>C</w:t>
            </w:r>
            <w:r w:rsidR="00143F86">
              <w:rPr>
                <w:rFonts w:ascii="Cambria" w:hAnsi="Cambria"/>
                <w:color w:val="000066"/>
                <w:sz w:val="16"/>
                <w:szCs w:val="20"/>
              </w:rPr>
              <w:t>ollege of Urgent Care</w:t>
            </w:r>
          </w:p>
          <w:p w14:paraId="58DEFA82" w14:textId="77777777" w:rsidR="001B44F5" w:rsidRPr="00D21D1B" w:rsidRDefault="001B44F5" w:rsidP="001B44F5">
            <w:pPr>
              <w:spacing w:before="480" w:after="360" w:line="240" w:lineRule="auto"/>
              <w:rPr>
                <w:rFonts w:ascii="Cambria" w:hAnsi="Cambria"/>
                <w:color w:val="000066"/>
                <w:sz w:val="16"/>
                <w:szCs w:val="20"/>
              </w:rPr>
            </w:pPr>
            <w:r>
              <w:rPr>
                <w:rFonts w:ascii="Cambria" w:hAnsi="Cambria"/>
                <w:color w:val="000066"/>
                <w:sz w:val="16"/>
                <w:szCs w:val="20"/>
              </w:rPr>
              <w:t>Australasian College of Sport and Exercise Physicians</w:t>
            </w:r>
          </w:p>
        </w:tc>
        <w:tc>
          <w:tcPr>
            <w:tcW w:w="8080" w:type="dxa"/>
            <w:tcBorders>
              <w:left w:val="single" w:sz="8" w:space="0" w:color="BABA72"/>
              <w:right w:val="nil"/>
            </w:tcBorders>
          </w:tcPr>
          <w:p w14:paraId="7D3D300E" w14:textId="59BED3AB" w:rsidR="00DB3312" w:rsidRDefault="00DB3312" w:rsidP="00E5714F">
            <w:pPr>
              <w:pStyle w:val="Title"/>
              <w:pBdr>
                <w:bottom w:val="single" w:sz="24" w:space="4" w:color="BABA72"/>
              </w:pBdr>
              <w:ind w:left="1593"/>
              <w:jc w:val="right"/>
              <w:rPr>
                <w:color w:val="000066"/>
                <w:sz w:val="32"/>
                <w:lang w:bidi="ar-SA"/>
              </w:rPr>
            </w:pPr>
            <w:r w:rsidRPr="00E02E52">
              <w:rPr>
                <w:color w:val="000066"/>
                <w:sz w:val="32"/>
                <w:lang w:bidi="ar-SA"/>
              </w:rPr>
              <w:t>Council of Medical Colleges in New Zealand</w:t>
            </w:r>
          </w:p>
          <w:p w14:paraId="7DDBA862" w14:textId="77777777" w:rsidR="00252098" w:rsidRPr="00947CAC" w:rsidRDefault="00252098" w:rsidP="00252098">
            <w:pPr>
              <w:pStyle w:val="Title"/>
              <w:pBdr>
                <w:bottom w:val="none" w:sz="0" w:space="0" w:color="auto"/>
              </w:pBdr>
              <w:ind w:left="1593"/>
              <w:jc w:val="right"/>
              <w:rPr>
                <w:color w:val="000066"/>
                <w:sz w:val="32"/>
                <w:lang w:val="sv-SE" w:bidi="ar-SA"/>
              </w:rPr>
            </w:pPr>
            <w:r w:rsidRPr="00947CAC">
              <w:rPr>
                <w:color w:val="000066"/>
                <w:sz w:val="32"/>
                <w:lang w:val="sv-SE" w:bidi="ar-SA"/>
              </w:rPr>
              <w:t xml:space="preserve">Te </w:t>
            </w:r>
            <w:proofErr w:type="spellStart"/>
            <w:r w:rsidRPr="00947CAC">
              <w:rPr>
                <w:color w:val="000066"/>
                <w:sz w:val="32"/>
                <w:lang w:val="sv-SE" w:bidi="ar-SA"/>
              </w:rPr>
              <w:t>Kaunihera</w:t>
            </w:r>
            <w:proofErr w:type="spellEnd"/>
            <w:r w:rsidRPr="00947CAC">
              <w:rPr>
                <w:color w:val="000066"/>
                <w:sz w:val="32"/>
                <w:lang w:val="sv-SE" w:bidi="ar-SA"/>
              </w:rPr>
              <w:t xml:space="preserve"> o </w:t>
            </w:r>
            <w:proofErr w:type="spellStart"/>
            <w:r w:rsidRPr="00947CAC">
              <w:rPr>
                <w:color w:val="000066"/>
                <w:sz w:val="32"/>
                <w:lang w:val="sv-SE" w:bidi="ar-SA"/>
              </w:rPr>
              <w:t>Ngā</w:t>
            </w:r>
            <w:proofErr w:type="spellEnd"/>
            <w:r w:rsidRPr="00947CAC">
              <w:rPr>
                <w:color w:val="000066"/>
                <w:sz w:val="32"/>
                <w:lang w:val="sv-SE" w:bidi="ar-SA"/>
              </w:rPr>
              <w:t xml:space="preserve"> </w:t>
            </w:r>
            <w:proofErr w:type="spellStart"/>
            <w:r w:rsidRPr="00947CAC">
              <w:rPr>
                <w:color w:val="000066"/>
                <w:sz w:val="32"/>
                <w:lang w:val="sv-SE" w:bidi="ar-SA"/>
              </w:rPr>
              <w:t>Kāreti</w:t>
            </w:r>
            <w:proofErr w:type="spellEnd"/>
            <w:r w:rsidRPr="00947CAC">
              <w:rPr>
                <w:color w:val="000066"/>
                <w:sz w:val="32"/>
                <w:lang w:val="sv-SE" w:bidi="ar-SA"/>
              </w:rPr>
              <w:t xml:space="preserve"> Rata o </w:t>
            </w:r>
            <w:proofErr w:type="spellStart"/>
            <w:r w:rsidRPr="00947CAC">
              <w:rPr>
                <w:color w:val="000066"/>
                <w:sz w:val="32"/>
                <w:lang w:val="sv-SE" w:bidi="ar-SA"/>
              </w:rPr>
              <w:t>Aotearoa</w:t>
            </w:r>
            <w:proofErr w:type="spellEnd"/>
          </w:p>
          <w:tbl>
            <w:tblPr>
              <w:tblW w:w="2977" w:type="dxa"/>
              <w:tblInd w:w="4995" w:type="dxa"/>
              <w:tblLayout w:type="fixed"/>
              <w:tblLook w:val="0000" w:firstRow="0" w:lastRow="0" w:firstColumn="0" w:lastColumn="0" w:noHBand="0" w:noVBand="0"/>
            </w:tblPr>
            <w:tblGrid>
              <w:gridCol w:w="2977"/>
            </w:tblGrid>
            <w:tr w:rsidR="00DB3312" w:rsidRPr="00E53A19" w14:paraId="748AD2C9" w14:textId="77777777" w:rsidTr="00E5714F">
              <w:trPr>
                <w:trHeight w:val="380"/>
              </w:trPr>
              <w:tc>
                <w:tcPr>
                  <w:tcW w:w="2977" w:type="dxa"/>
                </w:tcPr>
                <w:p w14:paraId="3B40C459" w14:textId="77777777" w:rsidR="00B44C16" w:rsidRDefault="007939B4" w:rsidP="00E5714F">
                  <w:pPr>
                    <w:pStyle w:val="NoSpacing"/>
                    <w:ind w:right="33"/>
                    <w:jc w:val="right"/>
                    <w:rPr>
                      <w:rFonts w:ascii="Cambria" w:hAnsi="Cambria"/>
                      <w:color w:val="000066"/>
                    </w:rPr>
                  </w:pPr>
                  <w:r>
                    <w:rPr>
                      <w:rFonts w:ascii="Cambria" w:hAnsi="Cambria"/>
                      <w:color w:val="000066"/>
                    </w:rPr>
                    <w:t xml:space="preserve">PO Box </w:t>
                  </w:r>
                  <w:r w:rsidR="00B44C16">
                    <w:rPr>
                      <w:rFonts w:ascii="Cambria" w:hAnsi="Cambria"/>
                      <w:color w:val="000066"/>
                    </w:rPr>
                    <w:t>10375</w:t>
                  </w:r>
                </w:p>
                <w:p w14:paraId="69E919EC" w14:textId="77777777" w:rsidR="00B44C16" w:rsidRDefault="00B44C16" w:rsidP="00E5714F">
                  <w:pPr>
                    <w:pStyle w:val="NoSpacing"/>
                    <w:ind w:right="33"/>
                    <w:jc w:val="right"/>
                    <w:rPr>
                      <w:rFonts w:ascii="Cambria" w:hAnsi="Cambria"/>
                      <w:color w:val="000066"/>
                    </w:rPr>
                  </w:pPr>
                  <w:r>
                    <w:rPr>
                      <w:rFonts w:ascii="Cambria" w:hAnsi="Cambria"/>
                      <w:color w:val="000066"/>
                    </w:rPr>
                    <w:t>The Terrace</w:t>
                  </w:r>
                </w:p>
                <w:p w14:paraId="7C60693F" w14:textId="4180084F" w:rsidR="00DB3312" w:rsidRPr="00E02E52" w:rsidRDefault="00DB3312" w:rsidP="00E5714F">
                  <w:pPr>
                    <w:pStyle w:val="NoSpacing"/>
                    <w:ind w:right="33"/>
                    <w:jc w:val="right"/>
                    <w:rPr>
                      <w:rFonts w:ascii="Cambria" w:hAnsi="Cambria"/>
                      <w:color w:val="000066"/>
                    </w:rPr>
                  </w:pPr>
                  <w:r w:rsidRPr="00E02E52">
                    <w:rPr>
                      <w:rFonts w:ascii="Cambria" w:hAnsi="Cambria"/>
                      <w:color w:val="000066"/>
                    </w:rPr>
                    <w:t xml:space="preserve"> </w:t>
                  </w:r>
                  <w:r w:rsidR="00252098" w:rsidRPr="00E02E52">
                    <w:rPr>
                      <w:rFonts w:ascii="Cambria" w:hAnsi="Cambria"/>
                      <w:color w:val="000066"/>
                    </w:rPr>
                    <w:t>WELLINGTON</w:t>
                  </w:r>
                  <w:r w:rsidR="00B44C16">
                    <w:rPr>
                      <w:rFonts w:ascii="Cambria" w:hAnsi="Cambria"/>
                      <w:color w:val="000066"/>
                    </w:rPr>
                    <w:t xml:space="preserve"> 6143</w:t>
                  </w:r>
                </w:p>
                <w:p w14:paraId="19B29F02" w14:textId="1C7F1021" w:rsidR="00DB3312" w:rsidRPr="00436C8B" w:rsidRDefault="00DB3312" w:rsidP="00E5714F">
                  <w:pPr>
                    <w:pStyle w:val="NoSpacing"/>
                    <w:ind w:right="33"/>
                    <w:jc w:val="right"/>
                    <w:rPr>
                      <w:rFonts w:ascii="Cambria" w:hAnsi="Cambria"/>
                      <w:color w:val="000066"/>
                      <w:sz w:val="20"/>
                    </w:rPr>
                  </w:pPr>
                  <w:r w:rsidRPr="00436C8B">
                    <w:rPr>
                      <w:rFonts w:ascii="Cambria" w:hAnsi="Cambria"/>
                      <w:color w:val="000066"/>
                    </w:rPr>
                    <w:t>Telephone +64</w:t>
                  </w:r>
                  <w:r w:rsidRPr="00436C8B">
                    <w:rPr>
                      <w:rFonts w:asciiTheme="majorHAnsi" w:hAnsiTheme="majorHAnsi"/>
                      <w:color w:val="000066"/>
                    </w:rPr>
                    <w:t>-4-</w:t>
                  </w:r>
                  <w:r w:rsidR="00B44C16">
                    <w:rPr>
                      <w:rFonts w:asciiTheme="majorHAnsi" w:hAnsiTheme="majorHAnsi"/>
                      <w:noProof/>
                      <w:color w:val="000066"/>
                    </w:rPr>
                    <w:t>47</w:t>
                  </w:r>
                  <w:r w:rsidR="00EB3F77">
                    <w:rPr>
                      <w:rFonts w:asciiTheme="majorHAnsi" w:hAnsiTheme="majorHAnsi"/>
                      <w:noProof/>
                      <w:color w:val="000066"/>
                    </w:rPr>
                    <w:t>1</w:t>
                  </w:r>
                  <w:r w:rsidR="00B44C16">
                    <w:rPr>
                      <w:rFonts w:asciiTheme="majorHAnsi" w:hAnsiTheme="majorHAnsi"/>
                      <w:noProof/>
                      <w:color w:val="000066"/>
                    </w:rPr>
                    <w:t xml:space="preserve"> </w:t>
                  </w:r>
                  <w:r w:rsidR="00EB3F77">
                    <w:rPr>
                      <w:rFonts w:asciiTheme="majorHAnsi" w:hAnsiTheme="majorHAnsi"/>
                      <w:noProof/>
                      <w:color w:val="000066"/>
                    </w:rPr>
                    <w:t>2334</w:t>
                  </w:r>
                </w:p>
              </w:tc>
            </w:tr>
          </w:tbl>
          <w:p w14:paraId="09302779" w14:textId="77777777" w:rsidR="00104F7A" w:rsidRPr="000758DB" w:rsidRDefault="00104F7A" w:rsidP="000758DB">
            <w:pPr>
              <w:pStyle w:val="Body"/>
              <w:tabs>
                <w:tab w:val="left" w:pos="2780"/>
                <w:tab w:val="left" w:pos="5570"/>
              </w:tabs>
              <w:spacing w:after="0"/>
              <w:rPr>
                <w:rFonts w:asciiTheme="minorHAnsi" w:hAnsiTheme="minorHAnsi" w:cstheme="minorHAnsi"/>
                <w:color w:val="auto"/>
                <w:sz w:val="20"/>
                <w:szCs w:val="20"/>
              </w:rPr>
            </w:pPr>
          </w:p>
          <w:p w14:paraId="6863A83E" w14:textId="17B01669" w:rsidR="00C37AE6" w:rsidRPr="00C37AE6" w:rsidRDefault="00C37AE6" w:rsidP="000758DB">
            <w:pPr>
              <w:pStyle w:val="Body"/>
              <w:tabs>
                <w:tab w:val="left" w:pos="2780"/>
                <w:tab w:val="left" w:pos="5570"/>
              </w:tabs>
              <w:spacing w:after="0"/>
              <w:rPr>
                <w:rFonts w:asciiTheme="minorHAnsi" w:hAnsiTheme="minorHAnsi" w:cstheme="minorHAnsi"/>
                <w:color w:val="auto"/>
                <w:sz w:val="20"/>
                <w:szCs w:val="20"/>
              </w:rPr>
            </w:pPr>
            <w:r w:rsidRPr="00C37AE6">
              <w:rPr>
                <w:rFonts w:asciiTheme="minorHAnsi" w:hAnsiTheme="minorHAnsi" w:cstheme="minorHAnsi"/>
                <w:color w:val="auto"/>
                <w:sz w:val="20"/>
                <w:szCs w:val="20"/>
              </w:rPr>
              <w:t>11 June 2020</w:t>
            </w:r>
          </w:p>
          <w:p w14:paraId="53CB9920" w14:textId="77777777" w:rsidR="00C37AE6" w:rsidRDefault="00C37AE6" w:rsidP="000758DB">
            <w:pPr>
              <w:pStyle w:val="Body"/>
              <w:tabs>
                <w:tab w:val="left" w:pos="2780"/>
                <w:tab w:val="left" w:pos="5570"/>
              </w:tabs>
              <w:spacing w:after="0"/>
              <w:rPr>
                <w:rFonts w:asciiTheme="minorHAnsi" w:hAnsiTheme="minorHAnsi" w:cstheme="minorHAnsi"/>
                <w:b/>
                <w:bCs/>
                <w:color w:val="auto"/>
                <w:sz w:val="20"/>
                <w:szCs w:val="20"/>
                <w:u w:val="single"/>
              </w:rPr>
            </w:pPr>
          </w:p>
          <w:p w14:paraId="1843BC5C" w14:textId="484A6078" w:rsidR="00B30F6A" w:rsidRPr="000758DB" w:rsidRDefault="000758DB" w:rsidP="000758DB">
            <w:pPr>
              <w:pStyle w:val="Body"/>
              <w:tabs>
                <w:tab w:val="left" w:pos="2780"/>
                <w:tab w:val="left" w:pos="5570"/>
              </w:tabs>
              <w:spacing w:after="0"/>
              <w:rPr>
                <w:rFonts w:asciiTheme="minorHAnsi" w:hAnsiTheme="minorHAnsi" w:cstheme="minorHAnsi"/>
                <w:b/>
                <w:bCs/>
                <w:color w:val="auto"/>
                <w:sz w:val="20"/>
                <w:szCs w:val="20"/>
                <w:u w:val="single"/>
              </w:rPr>
            </w:pPr>
            <w:r w:rsidRPr="000758DB">
              <w:rPr>
                <w:rFonts w:asciiTheme="minorHAnsi" w:hAnsiTheme="minorHAnsi" w:cstheme="minorHAnsi"/>
                <w:b/>
                <w:bCs/>
                <w:color w:val="auto"/>
                <w:sz w:val="20"/>
                <w:szCs w:val="20"/>
                <w:u w:val="single"/>
              </w:rPr>
              <w:t>MEDIA RELEASE</w:t>
            </w:r>
          </w:p>
          <w:p w14:paraId="3D9EED6A" w14:textId="77777777" w:rsidR="000758DB" w:rsidRPr="000758DB" w:rsidRDefault="000758DB" w:rsidP="000758DB">
            <w:pPr>
              <w:pStyle w:val="Body"/>
              <w:spacing w:after="0" w:line="240" w:lineRule="auto"/>
              <w:outlineLvl w:val="2"/>
              <w:rPr>
                <w:rFonts w:asciiTheme="minorHAnsi" w:hAnsiTheme="minorHAnsi" w:cstheme="minorHAnsi"/>
                <w:sz w:val="20"/>
                <w:szCs w:val="20"/>
              </w:rPr>
            </w:pPr>
          </w:p>
          <w:p w14:paraId="1506C0AB" w14:textId="77777777" w:rsidR="000758DB" w:rsidRPr="000758DB" w:rsidRDefault="000758DB" w:rsidP="000758DB">
            <w:pPr>
              <w:pStyle w:val="Body"/>
              <w:spacing w:after="0" w:line="240" w:lineRule="auto"/>
              <w:outlineLvl w:val="2"/>
              <w:rPr>
                <w:rFonts w:asciiTheme="minorHAnsi" w:hAnsiTheme="minorHAnsi" w:cstheme="minorHAnsi"/>
                <w:b/>
                <w:bCs/>
                <w:sz w:val="20"/>
                <w:szCs w:val="20"/>
              </w:rPr>
            </w:pPr>
            <w:r w:rsidRPr="000758DB">
              <w:rPr>
                <w:rFonts w:asciiTheme="minorHAnsi" w:hAnsiTheme="minorHAnsi" w:cstheme="minorHAnsi"/>
                <w:b/>
                <w:bCs/>
                <w:sz w:val="20"/>
                <w:szCs w:val="20"/>
              </w:rPr>
              <w:t>Medical specialists back the COVID-19 response and put their weight behind the recovery in the health sector</w:t>
            </w:r>
          </w:p>
          <w:p w14:paraId="3F1A2CB3" w14:textId="77777777" w:rsidR="000758DB" w:rsidRPr="000758DB" w:rsidRDefault="000758DB" w:rsidP="000758DB">
            <w:pPr>
              <w:pStyle w:val="Body"/>
              <w:spacing w:after="0" w:line="240" w:lineRule="auto"/>
              <w:outlineLvl w:val="2"/>
              <w:rPr>
                <w:rFonts w:asciiTheme="minorHAnsi" w:hAnsiTheme="minorHAnsi" w:cstheme="minorHAnsi"/>
                <w:sz w:val="20"/>
                <w:szCs w:val="20"/>
              </w:rPr>
            </w:pPr>
          </w:p>
          <w:p w14:paraId="6A319AED" w14:textId="77777777" w:rsidR="000758DB" w:rsidRPr="00E27038" w:rsidRDefault="000758DB" w:rsidP="000758DB">
            <w:pPr>
              <w:pStyle w:val="Body"/>
              <w:spacing w:after="0" w:line="240" w:lineRule="auto"/>
              <w:outlineLvl w:val="2"/>
              <w:rPr>
                <w:rFonts w:asciiTheme="minorHAnsi" w:hAnsiTheme="minorHAnsi" w:cstheme="minorHAnsi"/>
                <w:color w:val="0D0D0D" w:themeColor="text1" w:themeTint="F2"/>
                <w:sz w:val="20"/>
                <w:szCs w:val="20"/>
              </w:rPr>
            </w:pPr>
            <w:r w:rsidRPr="00E27038">
              <w:rPr>
                <w:rFonts w:asciiTheme="minorHAnsi" w:hAnsiTheme="minorHAnsi" w:cstheme="minorHAnsi"/>
                <w:color w:val="0D0D0D" w:themeColor="text1" w:themeTint="F2"/>
                <w:sz w:val="20"/>
                <w:szCs w:val="20"/>
              </w:rPr>
              <w:t>The Council of Medical Colleges (CMC) has put its support behind the COVID-19 response in New Zealand and committed to working with government on the recovery phase in the health sector.</w:t>
            </w:r>
          </w:p>
          <w:p w14:paraId="0C117661" w14:textId="77777777" w:rsidR="000758DB" w:rsidRPr="00E27038" w:rsidRDefault="000758DB" w:rsidP="000758DB">
            <w:pPr>
              <w:pStyle w:val="Body"/>
              <w:spacing w:after="0" w:line="240" w:lineRule="auto"/>
              <w:outlineLvl w:val="2"/>
              <w:rPr>
                <w:rFonts w:asciiTheme="minorHAnsi" w:hAnsiTheme="minorHAnsi" w:cstheme="minorHAnsi"/>
                <w:color w:val="0D0D0D" w:themeColor="text1" w:themeTint="F2"/>
                <w:sz w:val="20"/>
                <w:szCs w:val="20"/>
              </w:rPr>
            </w:pPr>
          </w:p>
          <w:p w14:paraId="14F71985" w14:textId="46E52B1F" w:rsidR="000758DB" w:rsidRPr="00E27038" w:rsidRDefault="000758DB" w:rsidP="000758DB">
            <w:pPr>
              <w:pStyle w:val="Body"/>
              <w:spacing w:after="0" w:line="240" w:lineRule="auto"/>
              <w:outlineLvl w:val="2"/>
              <w:rPr>
                <w:rFonts w:asciiTheme="minorHAnsi" w:hAnsiTheme="minorHAnsi" w:cstheme="minorHAnsi"/>
                <w:color w:val="0D0D0D" w:themeColor="text1" w:themeTint="F2"/>
                <w:sz w:val="20"/>
                <w:szCs w:val="20"/>
              </w:rPr>
            </w:pPr>
            <w:r w:rsidRPr="00E27038">
              <w:rPr>
                <w:rFonts w:asciiTheme="minorHAnsi" w:hAnsiTheme="minorHAnsi" w:cstheme="minorHAnsi"/>
                <w:color w:val="0D0D0D" w:themeColor="text1" w:themeTint="F2"/>
                <w:sz w:val="20"/>
                <w:szCs w:val="20"/>
              </w:rPr>
              <w:t xml:space="preserve">CMC, which is the collective voice of the fifteen New Zealand and Australasian-based medical colleges, formally thanks the Prime Minister and public health sector led by Dr Ashley Bloomfield and the Ministry of Health for their tireless work and sound decision-making in managing New Zealand’s response to COVID-19. “With </w:t>
            </w:r>
            <w:r w:rsidR="00330E05" w:rsidRPr="00E27038">
              <w:rPr>
                <w:rFonts w:asciiTheme="minorHAnsi" w:hAnsiTheme="minorHAnsi" w:cstheme="minorHAnsi"/>
                <w:color w:val="0D0D0D" w:themeColor="text1" w:themeTint="F2"/>
                <w:sz w:val="20"/>
                <w:szCs w:val="20"/>
              </w:rPr>
              <w:t xml:space="preserve">currently no </w:t>
            </w:r>
            <w:r w:rsidRPr="00E27038">
              <w:rPr>
                <w:rFonts w:asciiTheme="minorHAnsi" w:hAnsiTheme="minorHAnsi" w:cstheme="minorHAnsi"/>
                <w:color w:val="0D0D0D" w:themeColor="text1" w:themeTint="F2"/>
                <w:sz w:val="20"/>
                <w:szCs w:val="20"/>
              </w:rPr>
              <w:t>active COVID-19 case</w:t>
            </w:r>
            <w:r w:rsidR="00330E05" w:rsidRPr="00E27038">
              <w:rPr>
                <w:rFonts w:asciiTheme="minorHAnsi" w:hAnsiTheme="minorHAnsi" w:cstheme="minorHAnsi"/>
                <w:color w:val="0D0D0D" w:themeColor="text1" w:themeTint="F2"/>
                <w:sz w:val="20"/>
                <w:szCs w:val="20"/>
              </w:rPr>
              <w:t>s</w:t>
            </w:r>
            <w:r w:rsidRPr="00E27038">
              <w:rPr>
                <w:rFonts w:asciiTheme="minorHAnsi" w:hAnsiTheme="minorHAnsi" w:cstheme="minorHAnsi"/>
                <w:color w:val="0D0D0D" w:themeColor="text1" w:themeTint="F2"/>
                <w:sz w:val="20"/>
                <w:szCs w:val="20"/>
              </w:rPr>
              <w:t xml:space="preserve"> in the country, it is clear the right public health measures were taken to prevent what would have been catastrophic for the health sector and the New Zealand public,” says the CMC Chair, Dr John Bonning.</w:t>
            </w:r>
          </w:p>
          <w:p w14:paraId="669AB238" w14:textId="77777777" w:rsidR="000758DB" w:rsidRPr="00E27038" w:rsidRDefault="000758DB" w:rsidP="000758DB">
            <w:pPr>
              <w:pStyle w:val="Body"/>
              <w:spacing w:after="0" w:line="240" w:lineRule="auto"/>
              <w:outlineLvl w:val="2"/>
              <w:rPr>
                <w:rFonts w:asciiTheme="minorHAnsi" w:hAnsiTheme="minorHAnsi" w:cstheme="minorHAnsi"/>
                <w:color w:val="0D0D0D" w:themeColor="text1" w:themeTint="F2"/>
                <w:sz w:val="20"/>
                <w:szCs w:val="20"/>
              </w:rPr>
            </w:pPr>
          </w:p>
          <w:p w14:paraId="57B4034E" w14:textId="7D14B0F9" w:rsidR="000758DB" w:rsidRPr="00E27038" w:rsidRDefault="000758DB" w:rsidP="000758DB">
            <w:pPr>
              <w:pStyle w:val="Body"/>
              <w:spacing w:after="0" w:line="240" w:lineRule="auto"/>
              <w:outlineLvl w:val="2"/>
              <w:rPr>
                <w:rFonts w:asciiTheme="minorHAnsi" w:hAnsiTheme="minorHAnsi" w:cstheme="minorHAnsi"/>
                <w:color w:val="0D0D0D" w:themeColor="text1" w:themeTint="F2"/>
                <w:sz w:val="20"/>
                <w:szCs w:val="20"/>
              </w:rPr>
            </w:pPr>
            <w:r w:rsidRPr="00E27038">
              <w:rPr>
                <w:rFonts w:asciiTheme="minorHAnsi" w:hAnsiTheme="minorHAnsi" w:cstheme="minorHAnsi"/>
                <w:color w:val="0D0D0D" w:themeColor="text1" w:themeTint="F2"/>
                <w:sz w:val="20"/>
                <w:szCs w:val="20"/>
              </w:rPr>
              <w:t>CMC says it is a testament to the New Zealand Government, and public health physicians across the country that </w:t>
            </w:r>
            <w:r w:rsidRPr="00E27038">
              <w:rPr>
                <w:rFonts w:asciiTheme="minorHAnsi" w:hAnsiTheme="minorHAnsi" w:cstheme="minorHAnsi"/>
                <w:color w:val="0D0D0D" w:themeColor="text1" w:themeTint="F2"/>
                <w:sz w:val="20"/>
                <w:szCs w:val="20"/>
                <w:lang w:val="nl-NL"/>
              </w:rPr>
              <w:t>New Zealand</w:t>
            </w:r>
            <w:r w:rsidRPr="00E27038">
              <w:rPr>
                <w:rFonts w:asciiTheme="minorHAnsi" w:hAnsiTheme="minorHAnsi" w:cstheme="minorHAnsi"/>
                <w:color w:val="0D0D0D" w:themeColor="text1" w:themeTint="F2"/>
                <w:sz w:val="20"/>
                <w:szCs w:val="20"/>
              </w:rPr>
              <w:t> is in the position it is in now. “Public health physicians have been integral in this response - providing modelling and advice to government, communicating with the public, advising hospitals, and contact tracing to slow the spread of disease. This was all done in a rapidly changing environment where decisions had to be made quickly and with limited information,” says Dr Bonning.  </w:t>
            </w:r>
            <w:r w:rsidR="00EC1DD6" w:rsidRPr="00E27038">
              <w:rPr>
                <w:rFonts w:asciiTheme="minorHAnsi" w:hAnsiTheme="minorHAnsi" w:cstheme="minorHAnsi"/>
                <w:color w:val="0D0D0D" w:themeColor="text1" w:themeTint="F2"/>
                <w:sz w:val="20"/>
                <w:szCs w:val="20"/>
              </w:rPr>
              <w:t xml:space="preserve"> </w:t>
            </w:r>
          </w:p>
          <w:p w14:paraId="2FEFB5EE" w14:textId="14FB423C" w:rsidR="000758DB" w:rsidRPr="00E27038" w:rsidRDefault="000758DB" w:rsidP="000758DB">
            <w:pPr>
              <w:pStyle w:val="paragraph"/>
              <w:rPr>
                <w:rFonts w:asciiTheme="minorHAnsi" w:eastAsia="Calibri" w:hAnsiTheme="minorHAnsi" w:cstheme="minorHAnsi"/>
                <w:color w:val="0D0D0D" w:themeColor="text1" w:themeTint="F2"/>
                <w:sz w:val="20"/>
                <w:szCs w:val="20"/>
              </w:rPr>
            </w:pPr>
            <w:r w:rsidRPr="00E27038">
              <w:rPr>
                <w:rFonts w:asciiTheme="minorHAnsi" w:eastAsia="Calibri" w:hAnsiTheme="minorHAnsi" w:cstheme="minorHAnsi"/>
                <w:color w:val="0D0D0D" w:themeColor="text1" w:themeTint="F2"/>
                <w:sz w:val="20"/>
                <w:szCs w:val="20"/>
              </w:rPr>
              <w:t>As the pandemic unfolded across the world in early March, the New Zealand health sector was gearing up for a possible flood of COVID-19 patients that threatened to swamp our healthcare service. General Practitioners (GPs)</w:t>
            </w:r>
            <w:r w:rsidR="003D7C9A" w:rsidRPr="00E27038">
              <w:rPr>
                <w:rFonts w:asciiTheme="minorHAnsi" w:eastAsia="Calibri" w:hAnsiTheme="minorHAnsi" w:cstheme="minorHAnsi"/>
                <w:color w:val="0D0D0D" w:themeColor="text1" w:themeTint="F2"/>
                <w:sz w:val="20"/>
                <w:szCs w:val="20"/>
              </w:rPr>
              <w:t>, psychiatrists,</w:t>
            </w:r>
            <w:r w:rsidRPr="00E27038">
              <w:rPr>
                <w:rFonts w:asciiTheme="minorHAnsi" w:eastAsia="Calibri" w:hAnsiTheme="minorHAnsi" w:cstheme="minorHAnsi"/>
                <w:color w:val="0D0D0D" w:themeColor="text1" w:themeTint="F2"/>
                <w:sz w:val="20"/>
                <w:szCs w:val="20"/>
              </w:rPr>
              <w:t xml:space="preserve"> and other specialists</w:t>
            </w:r>
            <w:r w:rsidR="003D7C9A" w:rsidRPr="00E27038">
              <w:rPr>
                <w:rFonts w:asciiTheme="minorHAnsi" w:eastAsia="Calibri" w:hAnsiTheme="minorHAnsi" w:cstheme="minorHAnsi"/>
                <w:color w:val="0D0D0D" w:themeColor="text1" w:themeTint="F2"/>
                <w:sz w:val="20"/>
                <w:szCs w:val="20"/>
              </w:rPr>
              <w:t xml:space="preserve"> </w:t>
            </w:r>
            <w:r w:rsidRPr="00E27038">
              <w:rPr>
                <w:rFonts w:asciiTheme="minorHAnsi" w:eastAsia="Calibri" w:hAnsiTheme="minorHAnsi" w:cstheme="minorHAnsi"/>
                <w:color w:val="0D0D0D" w:themeColor="text1" w:themeTint="F2"/>
                <w:sz w:val="20"/>
                <w:szCs w:val="20"/>
              </w:rPr>
              <w:t>rapidly embraced new models of virtual care through telehealth and video consultations and clinic appointments to prevent the virus spreading to patients in waiting rooms and clinics. </w:t>
            </w:r>
            <w:r w:rsidR="00330E05" w:rsidRPr="00E27038">
              <w:rPr>
                <w:rFonts w:ascii="Calibri" w:hAnsi="Calibri" w:cs="Calibri"/>
                <w:color w:val="0D0D0D" w:themeColor="text1" w:themeTint="F2"/>
                <w:sz w:val="20"/>
                <w:szCs w:val="20"/>
                <w:shd w:val="clear" w:color="auto" w:fill="FFFFFF"/>
              </w:rPr>
              <w:t xml:space="preserve">Intensivists prepared to </w:t>
            </w:r>
            <w:proofErr w:type="spellStart"/>
            <w:r w:rsidR="00330E05" w:rsidRPr="00E27038">
              <w:rPr>
                <w:rFonts w:ascii="Calibri" w:hAnsi="Calibri" w:cs="Calibri"/>
                <w:color w:val="0D0D0D" w:themeColor="text1" w:themeTint="F2"/>
                <w:sz w:val="20"/>
                <w:szCs w:val="20"/>
                <w:shd w:val="clear" w:color="auto" w:fill="FFFFFF"/>
              </w:rPr>
              <w:t>maximise</w:t>
            </w:r>
            <w:proofErr w:type="spellEnd"/>
            <w:r w:rsidR="00330E05" w:rsidRPr="00E27038">
              <w:rPr>
                <w:rFonts w:ascii="Calibri" w:hAnsi="Calibri" w:cs="Calibri"/>
                <w:color w:val="0D0D0D" w:themeColor="text1" w:themeTint="F2"/>
                <w:sz w:val="20"/>
                <w:szCs w:val="20"/>
                <w:shd w:val="clear" w:color="auto" w:fill="FFFFFF"/>
              </w:rPr>
              <w:t xml:space="preserve"> the available ICU capacity and worked with </w:t>
            </w:r>
            <w:proofErr w:type="spellStart"/>
            <w:r w:rsidR="00330E05" w:rsidRPr="00E27038">
              <w:rPr>
                <w:rFonts w:ascii="Calibri" w:hAnsi="Calibri" w:cs="Calibri"/>
                <w:color w:val="0D0D0D" w:themeColor="text1" w:themeTint="F2"/>
                <w:sz w:val="20"/>
                <w:szCs w:val="20"/>
                <w:shd w:val="clear" w:color="auto" w:fill="FFFFFF"/>
              </w:rPr>
              <w:t>anaesthetists</w:t>
            </w:r>
            <w:proofErr w:type="spellEnd"/>
            <w:r w:rsidR="00330E05" w:rsidRPr="00E27038">
              <w:rPr>
                <w:rFonts w:ascii="Calibri" w:hAnsi="Calibri" w:cs="Calibri"/>
                <w:color w:val="0D0D0D" w:themeColor="text1" w:themeTint="F2"/>
                <w:sz w:val="20"/>
                <w:szCs w:val="20"/>
                <w:shd w:val="clear" w:color="auto" w:fill="FFFFFF"/>
              </w:rPr>
              <w:t xml:space="preserve"> to prepare infection control procedures and repurpose operating theatres and </w:t>
            </w:r>
            <w:proofErr w:type="spellStart"/>
            <w:r w:rsidR="00330E05" w:rsidRPr="00E27038">
              <w:rPr>
                <w:rFonts w:ascii="Calibri" w:hAnsi="Calibri" w:cs="Calibri"/>
                <w:color w:val="0D0D0D" w:themeColor="text1" w:themeTint="F2"/>
                <w:sz w:val="20"/>
                <w:szCs w:val="20"/>
                <w:shd w:val="clear" w:color="auto" w:fill="FFFFFF"/>
              </w:rPr>
              <w:t>anaesthetic</w:t>
            </w:r>
            <w:proofErr w:type="spellEnd"/>
            <w:r w:rsidR="00330E05" w:rsidRPr="00E27038">
              <w:rPr>
                <w:rFonts w:ascii="Calibri" w:hAnsi="Calibri" w:cs="Calibri"/>
                <w:color w:val="0D0D0D" w:themeColor="text1" w:themeTint="F2"/>
                <w:sz w:val="20"/>
                <w:szCs w:val="20"/>
                <w:shd w:val="clear" w:color="auto" w:fill="FFFFFF"/>
              </w:rPr>
              <w:t xml:space="preserve"> machines</w:t>
            </w:r>
            <w:r w:rsidRPr="00E27038">
              <w:rPr>
                <w:rFonts w:asciiTheme="minorHAnsi" w:eastAsia="Calibri" w:hAnsiTheme="minorHAnsi" w:cstheme="minorHAnsi"/>
                <w:color w:val="0D0D0D" w:themeColor="text1" w:themeTint="F2"/>
                <w:sz w:val="20"/>
                <w:szCs w:val="20"/>
              </w:rPr>
              <w:t xml:space="preserve">. Emergency and </w:t>
            </w:r>
            <w:r w:rsidR="00330E05" w:rsidRPr="00E27038">
              <w:rPr>
                <w:rFonts w:asciiTheme="minorHAnsi" w:eastAsia="Calibri" w:hAnsiTheme="minorHAnsi" w:cstheme="minorHAnsi"/>
                <w:color w:val="0D0D0D" w:themeColor="text1" w:themeTint="F2"/>
                <w:sz w:val="20"/>
                <w:szCs w:val="20"/>
              </w:rPr>
              <w:t>g</w:t>
            </w:r>
            <w:r w:rsidRPr="00E27038">
              <w:rPr>
                <w:rFonts w:asciiTheme="minorHAnsi" w:eastAsia="Calibri" w:hAnsiTheme="minorHAnsi" w:cstheme="minorHAnsi"/>
                <w:color w:val="0D0D0D" w:themeColor="text1" w:themeTint="F2"/>
                <w:sz w:val="20"/>
                <w:szCs w:val="20"/>
              </w:rPr>
              <w:t xml:space="preserve">eneral </w:t>
            </w:r>
            <w:r w:rsidR="00330E05" w:rsidRPr="00E27038">
              <w:rPr>
                <w:rFonts w:asciiTheme="minorHAnsi" w:eastAsia="Calibri" w:hAnsiTheme="minorHAnsi" w:cstheme="minorHAnsi"/>
                <w:color w:val="0D0D0D" w:themeColor="text1" w:themeTint="F2"/>
                <w:sz w:val="20"/>
                <w:szCs w:val="20"/>
              </w:rPr>
              <w:t>p</w:t>
            </w:r>
            <w:r w:rsidRPr="00E27038">
              <w:rPr>
                <w:rFonts w:asciiTheme="minorHAnsi" w:eastAsia="Calibri" w:hAnsiTheme="minorHAnsi" w:cstheme="minorHAnsi"/>
                <w:color w:val="0D0D0D" w:themeColor="text1" w:themeTint="F2"/>
                <w:sz w:val="20"/>
                <w:szCs w:val="20"/>
              </w:rPr>
              <w:t>hysicians prepared and staffed our hospitals’ acute front line</w:t>
            </w:r>
            <w:r w:rsidR="00EB03E3">
              <w:rPr>
                <w:rFonts w:asciiTheme="minorHAnsi" w:eastAsia="Calibri" w:hAnsiTheme="minorHAnsi" w:cstheme="minorHAnsi"/>
                <w:color w:val="0D0D0D" w:themeColor="text1" w:themeTint="F2"/>
                <w:sz w:val="20"/>
                <w:szCs w:val="20"/>
              </w:rPr>
              <w:t xml:space="preserve">, </w:t>
            </w:r>
            <w:r w:rsidR="00EB03E3" w:rsidRPr="001B75D7">
              <w:rPr>
                <w:rFonts w:asciiTheme="minorHAnsi" w:hAnsiTheme="minorHAnsi"/>
                <w:sz w:val="20"/>
                <w:szCs w:val="27"/>
              </w:rPr>
              <w:t xml:space="preserve">as did </w:t>
            </w:r>
            <w:r w:rsidR="00EB03E3">
              <w:rPr>
                <w:sz w:val="20"/>
                <w:szCs w:val="27"/>
              </w:rPr>
              <w:t>u</w:t>
            </w:r>
            <w:r w:rsidR="00EB03E3" w:rsidRPr="001B75D7">
              <w:rPr>
                <w:rFonts w:asciiTheme="minorHAnsi" w:hAnsiTheme="minorHAnsi"/>
                <w:sz w:val="20"/>
                <w:szCs w:val="27"/>
              </w:rPr>
              <w:t xml:space="preserve">rgent </w:t>
            </w:r>
            <w:r w:rsidR="00EB03E3">
              <w:rPr>
                <w:sz w:val="20"/>
                <w:szCs w:val="27"/>
              </w:rPr>
              <w:t>c</w:t>
            </w:r>
            <w:r w:rsidR="00EB03E3" w:rsidRPr="001B75D7">
              <w:rPr>
                <w:rFonts w:asciiTheme="minorHAnsi" w:hAnsiTheme="minorHAnsi"/>
                <w:sz w:val="20"/>
                <w:szCs w:val="27"/>
              </w:rPr>
              <w:t>are in the community</w:t>
            </w:r>
            <w:r w:rsidR="00EB03E3">
              <w:rPr>
                <w:rFonts w:asciiTheme="minorHAnsi" w:hAnsiTheme="minorHAnsi"/>
                <w:sz w:val="20"/>
                <w:szCs w:val="27"/>
              </w:rPr>
              <w:t>,</w:t>
            </w:r>
            <w:r w:rsidR="00947CAC" w:rsidRPr="00E27038">
              <w:rPr>
                <w:rFonts w:asciiTheme="minorHAnsi" w:eastAsia="Calibri" w:hAnsiTheme="minorHAnsi" w:cstheme="minorHAnsi"/>
                <w:color w:val="0D0D0D" w:themeColor="text1" w:themeTint="F2"/>
                <w:sz w:val="20"/>
                <w:szCs w:val="20"/>
              </w:rPr>
              <w:t xml:space="preserve"> and our pathology colleagues rapidly upscaled laboratory testing on an unprecedented scale</w:t>
            </w:r>
            <w:r w:rsidRPr="00E27038">
              <w:rPr>
                <w:rFonts w:asciiTheme="minorHAnsi" w:eastAsia="Calibri" w:hAnsiTheme="minorHAnsi" w:cstheme="minorHAnsi"/>
                <w:color w:val="0D0D0D" w:themeColor="text1" w:themeTint="F2"/>
                <w:sz w:val="20"/>
                <w:szCs w:val="20"/>
              </w:rPr>
              <w:t>. “There is not one area of the health sector that hasn’t risen to this challenge,” says Dr Bonning</w:t>
            </w:r>
            <w:r w:rsidR="005D1CDB" w:rsidRPr="00E27038">
              <w:rPr>
                <w:rFonts w:asciiTheme="minorHAnsi" w:eastAsia="Calibri" w:hAnsiTheme="minorHAnsi" w:cstheme="minorHAnsi"/>
                <w:color w:val="0D0D0D" w:themeColor="text1" w:themeTint="F2"/>
                <w:sz w:val="20"/>
                <w:szCs w:val="20"/>
              </w:rPr>
              <w:t>.</w:t>
            </w:r>
          </w:p>
          <w:p w14:paraId="1A234933" w14:textId="77777777" w:rsidR="000758DB" w:rsidRPr="00E27038" w:rsidRDefault="000758DB" w:rsidP="000758DB">
            <w:pPr>
              <w:pStyle w:val="paragraph"/>
              <w:rPr>
                <w:rFonts w:asciiTheme="minorHAnsi" w:eastAsia="Calibri" w:hAnsiTheme="minorHAnsi" w:cstheme="minorHAnsi"/>
                <w:color w:val="0D0D0D" w:themeColor="text1" w:themeTint="F2"/>
                <w:sz w:val="20"/>
                <w:szCs w:val="20"/>
              </w:rPr>
            </w:pPr>
            <w:r w:rsidRPr="00E27038">
              <w:rPr>
                <w:rFonts w:asciiTheme="minorHAnsi" w:eastAsia="Calibri" w:hAnsiTheme="minorHAnsi" w:cstheme="minorHAnsi"/>
                <w:color w:val="0D0D0D" w:themeColor="text1" w:themeTint="F2"/>
                <w:sz w:val="20"/>
                <w:szCs w:val="20"/>
              </w:rPr>
              <w:t xml:space="preserve"> “It is not an overstatement to say the entire health workforce watched in horror as internationally stories emerged about the high death rate, the overwhelmed national health services and the harrowing decisions their international colleagues were being forced to make about </w:t>
            </w:r>
            <w:proofErr w:type="spellStart"/>
            <w:r w:rsidRPr="00E27038">
              <w:rPr>
                <w:rFonts w:asciiTheme="minorHAnsi" w:eastAsia="Calibri" w:hAnsiTheme="minorHAnsi" w:cstheme="minorHAnsi"/>
                <w:color w:val="0D0D0D" w:themeColor="text1" w:themeTint="F2"/>
                <w:sz w:val="20"/>
                <w:szCs w:val="20"/>
              </w:rPr>
              <w:t>prioritising</w:t>
            </w:r>
            <w:proofErr w:type="spellEnd"/>
            <w:r w:rsidRPr="00E27038">
              <w:rPr>
                <w:rFonts w:asciiTheme="minorHAnsi" w:eastAsia="Calibri" w:hAnsiTheme="minorHAnsi" w:cstheme="minorHAnsi"/>
                <w:color w:val="0D0D0D" w:themeColor="text1" w:themeTint="F2"/>
                <w:sz w:val="20"/>
                <w:szCs w:val="20"/>
              </w:rPr>
              <w:t xml:space="preserve"> critical healthcare. We saw health workers under siege all over the world and we watched as colleagues were listed as testing positive and dying.” </w:t>
            </w:r>
          </w:p>
          <w:p w14:paraId="56BBE5EB" w14:textId="63ED0FAE" w:rsidR="000758DB" w:rsidRPr="00E27038" w:rsidRDefault="000758DB" w:rsidP="000758DB">
            <w:pPr>
              <w:pStyle w:val="paragraph"/>
              <w:rPr>
                <w:rFonts w:asciiTheme="minorHAnsi" w:eastAsia="Calibri" w:hAnsiTheme="minorHAnsi" w:cstheme="minorHAnsi"/>
                <w:color w:val="0D0D0D" w:themeColor="text1" w:themeTint="F2"/>
                <w:sz w:val="20"/>
                <w:szCs w:val="20"/>
              </w:rPr>
            </w:pPr>
            <w:r w:rsidRPr="00E27038">
              <w:rPr>
                <w:rFonts w:asciiTheme="minorHAnsi" w:eastAsia="Calibri" w:hAnsiTheme="minorHAnsi" w:cstheme="minorHAnsi"/>
                <w:color w:val="0D0D0D" w:themeColor="text1" w:themeTint="F2"/>
                <w:sz w:val="20"/>
                <w:szCs w:val="20"/>
              </w:rPr>
              <w:t xml:space="preserve">CMC </w:t>
            </w:r>
            <w:proofErr w:type="spellStart"/>
            <w:r w:rsidRPr="00E27038">
              <w:rPr>
                <w:rFonts w:asciiTheme="minorHAnsi" w:eastAsia="Calibri" w:hAnsiTheme="minorHAnsi" w:cstheme="minorHAnsi"/>
                <w:color w:val="0D0D0D" w:themeColor="text1" w:themeTint="F2"/>
                <w:sz w:val="20"/>
                <w:szCs w:val="20"/>
              </w:rPr>
              <w:t>recognises</w:t>
            </w:r>
            <w:proofErr w:type="spellEnd"/>
            <w:r w:rsidRPr="00E27038">
              <w:rPr>
                <w:rFonts w:asciiTheme="minorHAnsi" w:eastAsia="Calibri" w:hAnsiTheme="minorHAnsi" w:cstheme="minorHAnsi"/>
                <w:color w:val="0D0D0D" w:themeColor="text1" w:themeTint="F2"/>
                <w:sz w:val="20"/>
                <w:szCs w:val="20"/>
              </w:rPr>
              <w:t xml:space="preserve"> that the health impact of COVID-19 </w:t>
            </w:r>
            <w:r w:rsidR="00947CAC" w:rsidRPr="00E27038">
              <w:rPr>
                <w:rFonts w:asciiTheme="minorHAnsi" w:hAnsiTheme="minorHAnsi" w:cstheme="minorHAnsi"/>
                <w:color w:val="0D0D0D" w:themeColor="text1" w:themeTint="F2"/>
                <w:sz w:val="20"/>
                <w:szCs w:val="20"/>
              </w:rPr>
              <w:t xml:space="preserve">is most certainly </w:t>
            </w:r>
            <w:r w:rsidRPr="00E27038">
              <w:rPr>
                <w:rFonts w:asciiTheme="minorHAnsi" w:eastAsia="Calibri" w:hAnsiTheme="minorHAnsi" w:cstheme="minorHAnsi"/>
                <w:color w:val="0D0D0D" w:themeColor="text1" w:themeTint="F2"/>
                <w:sz w:val="20"/>
                <w:szCs w:val="20"/>
              </w:rPr>
              <w:t xml:space="preserve">not over yet. The response including monitoring for COVID-19 will be ongoing. </w:t>
            </w:r>
            <w:r w:rsidR="00EC1DD6" w:rsidRPr="00E27038">
              <w:rPr>
                <w:rFonts w:asciiTheme="minorHAnsi" w:hAnsiTheme="minorHAnsi" w:cstheme="minorHAnsi"/>
                <w:color w:val="0D0D0D" w:themeColor="text1" w:themeTint="F2"/>
                <w:sz w:val="20"/>
                <w:szCs w:val="20"/>
              </w:rPr>
              <w:t xml:space="preserve">We are in no doubt that decisions made up to now will be scrutinized with the benefit of hindsight as the pandemic progresses and the health, social and economic impact continues.   </w:t>
            </w:r>
            <w:r w:rsidR="00EC1DD6" w:rsidRPr="00E27038">
              <w:rPr>
                <w:rFonts w:asciiTheme="minorHAnsi" w:eastAsia="Calibri" w:hAnsiTheme="minorHAnsi" w:cstheme="minorHAnsi"/>
                <w:color w:val="0D0D0D" w:themeColor="text1" w:themeTint="F2"/>
                <w:sz w:val="20"/>
                <w:szCs w:val="20"/>
              </w:rPr>
              <w:t>M</w:t>
            </w:r>
            <w:r w:rsidRPr="00E27038">
              <w:rPr>
                <w:rFonts w:asciiTheme="minorHAnsi" w:eastAsia="Calibri" w:hAnsiTheme="minorHAnsi" w:cstheme="minorHAnsi"/>
                <w:color w:val="0D0D0D" w:themeColor="text1" w:themeTint="F2"/>
                <w:sz w:val="20"/>
                <w:szCs w:val="20"/>
              </w:rPr>
              <w:t xml:space="preserve">edical specialists anticipate patients will have increased health needs due to delayed treatment, as well as emerging </w:t>
            </w:r>
            <w:r w:rsidR="00EC1DD6" w:rsidRPr="00E27038">
              <w:rPr>
                <w:rFonts w:asciiTheme="minorHAnsi" w:eastAsia="Calibri" w:hAnsiTheme="minorHAnsi" w:cstheme="minorHAnsi"/>
                <w:color w:val="0D0D0D" w:themeColor="text1" w:themeTint="F2"/>
                <w:sz w:val="20"/>
                <w:szCs w:val="20"/>
              </w:rPr>
              <w:t xml:space="preserve">physical and </w:t>
            </w:r>
            <w:r w:rsidRPr="00E27038">
              <w:rPr>
                <w:rFonts w:asciiTheme="minorHAnsi" w:eastAsia="Calibri" w:hAnsiTheme="minorHAnsi" w:cstheme="minorHAnsi"/>
                <w:color w:val="0D0D0D" w:themeColor="text1" w:themeTint="F2"/>
                <w:sz w:val="20"/>
                <w:szCs w:val="20"/>
              </w:rPr>
              <w:t xml:space="preserve">mental </w:t>
            </w:r>
            <w:r w:rsidRPr="00E27038">
              <w:rPr>
                <w:rFonts w:asciiTheme="minorHAnsi" w:eastAsia="Calibri" w:hAnsiTheme="minorHAnsi" w:cstheme="minorHAnsi"/>
                <w:color w:val="0D0D0D" w:themeColor="text1" w:themeTint="F2"/>
                <w:sz w:val="20"/>
                <w:szCs w:val="20"/>
              </w:rPr>
              <w:lastRenderedPageBreak/>
              <w:t>health needs as a direct result of the economic and social consequences of the COVID-19 pandemic.  </w:t>
            </w:r>
          </w:p>
          <w:p w14:paraId="0975D310" w14:textId="68614BB3" w:rsidR="00831325" w:rsidRDefault="000758DB" w:rsidP="000758DB">
            <w:pPr>
              <w:pStyle w:val="paragraph"/>
              <w:rPr>
                <w:rFonts w:asciiTheme="minorHAnsi" w:hAnsiTheme="minorHAnsi" w:cstheme="minorHAnsi"/>
                <w:color w:val="0D0D0D" w:themeColor="text1" w:themeTint="F2"/>
                <w:sz w:val="20"/>
                <w:szCs w:val="20"/>
              </w:rPr>
            </w:pPr>
            <w:r w:rsidRPr="00E27038">
              <w:rPr>
                <w:rFonts w:asciiTheme="minorHAnsi" w:eastAsia="Calibri" w:hAnsiTheme="minorHAnsi" w:cstheme="minorHAnsi"/>
                <w:color w:val="0D0D0D" w:themeColor="text1" w:themeTint="F2"/>
                <w:sz w:val="20"/>
                <w:szCs w:val="20"/>
              </w:rPr>
              <w:t xml:space="preserve">This pandemic has tested the health sector on all sides and will continue to do so. We can use this crisis to redesign aspects of healthcare delivery, Choosing Wisely to rationally and equitably allocate our precious healthcare resource.  Dr Bonning says the CMC is committed to working with government and </w:t>
            </w:r>
            <w:r w:rsidR="0048105B">
              <w:rPr>
                <w:rFonts w:asciiTheme="minorHAnsi" w:eastAsia="Calibri" w:hAnsiTheme="minorHAnsi" w:cstheme="minorHAnsi"/>
                <w:color w:val="0D0D0D" w:themeColor="text1" w:themeTint="F2"/>
                <w:sz w:val="20"/>
                <w:szCs w:val="20"/>
              </w:rPr>
              <w:t xml:space="preserve">the </w:t>
            </w:r>
            <w:r w:rsidRPr="00E27038">
              <w:rPr>
                <w:rFonts w:asciiTheme="minorHAnsi" w:eastAsia="Calibri" w:hAnsiTheme="minorHAnsi" w:cstheme="minorHAnsi"/>
                <w:color w:val="0D0D0D" w:themeColor="text1" w:themeTint="F2"/>
                <w:sz w:val="20"/>
                <w:szCs w:val="20"/>
              </w:rPr>
              <w:t xml:space="preserve">Ministry of Health to ensure our health sector can meet these challenges and support all New Zealanders, in particular Māori and Pasifika communities, who typically experience inequitable health outcomes that will be exacerbated by the fall-out from the pandemic. </w:t>
            </w:r>
            <w:r w:rsidR="006440C8" w:rsidRPr="00E27038">
              <w:rPr>
                <w:rFonts w:asciiTheme="minorHAnsi" w:eastAsia="Calibri" w:hAnsiTheme="minorHAnsi" w:cstheme="minorHAnsi"/>
                <w:color w:val="0D0D0D" w:themeColor="text1" w:themeTint="F2"/>
                <w:sz w:val="20"/>
                <w:szCs w:val="20"/>
              </w:rPr>
              <w:t xml:space="preserve"> </w:t>
            </w:r>
            <w:r w:rsidR="002852B5" w:rsidRPr="00E27038">
              <w:rPr>
                <w:rFonts w:asciiTheme="minorHAnsi" w:hAnsiTheme="minorHAnsi" w:cstheme="minorHAnsi"/>
                <w:color w:val="0D0D0D" w:themeColor="text1" w:themeTint="F2"/>
                <w:sz w:val="20"/>
                <w:szCs w:val="20"/>
              </w:rPr>
              <w:t>CMC</w:t>
            </w:r>
            <w:r w:rsidR="006440C8" w:rsidRPr="00E27038">
              <w:rPr>
                <w:rFonts w:asciiTheme="minorHAnsi" w:hAnsiTheme="minorHAnsi" w:cstheme="minorHAnsi"/>
                <w:color w:val="0D0D0D" w:themeColor="text1" w:themeTint="F2"/>
                <w:sz w:val="20"/>
                <w:szCs w:val="20"/>
              </w:rPr>
              <w:t xml:space="preserve"> strongly recommend</w:t>
            </w:r>
            <w:r w:rsidR="002852B5" w:rsidRPr="00E27038">
              <w:rPr>
                <w:rFonts w:asciiTheme="minorHAnsi" w:hAnsiTheme="minorHAnsi" w:cstheme="minorHAnsi"/>
                <w:color w:val="0D0D0D" w:themeColor="text1" w:themeTint="F2"/>
                <w:sz w:val="20"/>
                <w:szCs w:val="20"/>
              </w:rPr>
              <w:t>s</w:t>
            </w:r>
            <w:r w:rsidR="006440C8" w:rsidRPr="00E27038">
              <w:rPr>
                <w:rFonts w:asciiTheme="minorHAnsi" w:hAnsiTheme="minorHAnsi" w:cstheme="minorHAnsi"/>
                <w:color w:val="0D0D0D" w:themeColor="text1" w:themeTint="F2"/>
                <w:sz w:val="20"/>
                <w:szCs w:val="20"/>
              </w:rPr>
              <w:t xml:space="preserve"> that the Government and Ministry </w:t>
            </w:r>
            <w:r w:rsidR="00A51893">
              <w:rPr>
                <w:rFonts w:asciiTheme="minorHAnsi" w:hAnsiTheme="minorHAnsi" w:cstheme="minorHAnsi"/>
                <w:color w:val="0D0D0D" w:themeColor="text1" w:themeTint="F2"/>
                <w:sz w:val="20"/>
                <w:szCs w:val="20"/>
              </w:rPr>
              <w:t xml:space="preserve">partner </w:t>
            </w:r>
            <w:r w:rsidR="002852B5" w:rsidRPr="00E27038">
              <w:rPr>
                <w:rFonts w:asciiTheme="minorHAnsi" w:hAnsiTheme="minorHAnsi" w:cstheme="minorHAnsi"/>
                <w:color w:val="0D0D0D" w:themeColor="text1" w:themeTint="F2"/>
                <w:sz w:val="20"/>
                <w:szCs w:val="20"/>
              </w:rPr>
              <w:t xml:space="preserve">with </w:t>
            </w:r>
            <w:hyperlink r:id="rId8" w:history="1">
              <w:proofErr w:type="spellStart"/>
              <w:r w:rsidR="006440C8" w:rsidRPr="00035B47">
                <w:rPr>
                  <w:rStyle w:val="Hyperlink"/>
                  <w:rFonts w:asciiTheme="minorHAnsi" w:hAnsiTheme="minorHAnsi" w:cstheme="minorHAnsi"/>
                  <w:sz w:val="20"/>
                  <w:szCs w:val="20"/>
                </w:rPr>
                <w:t>Te</w:t>
              </w:r>
              <w:proofErr w:type="spellEnd"/>
              <w:r w:rsidR="006440C8" w:rsidRPr="00035B47">
                <w:rPr>
                  <w:rStyle w:val="Hyperlink"/>
                  <w:rFonts w:asciiTheme="minorHAnsi" w:hAnsiTheme="minorHAnsi" w:cstheme="minorHAnsi"/>
                  <w:sz w:val="20"/>
                  <w:szCs w:val="20"/>
                </w:rPr>
                <w:t xml:space="preserve"> </w:t>
              </w:r>
              <w:proofErr w:type="spellStart"/>
              <w:r w:rsidR="006440C8" w:rsidRPr="00035B47">
                <w:rPr>
                  <w:rStyle w:val="Hyperlink"/>
                  <w:rFonts w:asciiTheme="minorHAnsi" w:hAnsiTheme="minorHAnsi" w:cstheme="minorHAnsi"/>
                  <w:sz w:val="20"/>
                  <w:szCs w:val="20"/>
                </w:rPr>
                <w:t>Ohu</w:t>
              </w:r>
              <w:proofErr w:type="spellEnd"/>
              <w:r w:rsidR="006440C8" w:rsidRPr="00035B47">
                <w:rPr>
                  <w:rStyle w:val="Hyperlink"/>
                  <w:rFonts w:asciiTheme="minorHAnsi" w:hAnsiTheme="minorHAnsi" w:cstheme="minorHAnsi"/>
                  <w:sz w:val="20"/>
                  <w:szCs w:val="20"/>
                </w:rPr>
                <w:t xml:space="preserve"> Rata </w:t>
              </w:r>
              <w:r w:rsidR="0011163F" w:rsidRPr="00035B47">
                <w:rPr>
                  <w:rStyle w:val="Hyperlink"/>
                  <w:rFonts w:asciiTheme="minorHAnsi" w:hAnsiTheme="minorHAnsi" w:cstheme="minorHAnsi"/>
                  <w:sz w:val="20"/>
                  <w:szCs w:val="20"/>
                </w:rPr>
                <w:t>ō</w:t>
              </w:r>
              <w:r w:rsidR="006440C8" w:rsidRPr="00035B47">
                <w:rPr>
                  <w:rStyle w:val="Hyperlink"/>
                  <w:rFonts w:asciiTheme="minorHAnsi" w:hAnsiTheme="minorHAnsi" w:cstheme="minorHAnsi"/>
                  <w:sz w:val="20"/>
                  <w:szCs w:val="20"/>
                </w:rPr>
                <w:t xml:space="preserve"> Aotearoa</w:t>
              </w:r>
            </w:hyperlink>
            <w:r w:rsidR="002852B5" w:rsidRPr="00E27038">
              <w:rPr>
                <w:rFonts w:asciiTheme="minorHAnsi" w:hAnsiTheme="minorHAnsi" w:cstheme="minorHAnsi"/>
                <w:color w:val="0D0D0D" w:themeColor="text1" w:themeTint="F2"/>
                <w:sz w:val="20"/>
                <w:szCs w:val="20"/>
              </w:rPr>
              <w:t xml:space="preserve"> (</w:t>
            </w:r>
            <w:proofErr w:type="spellStart"/>
            <w:r w:rsidR="006440C8" w:rsidRPr="00E27038">
              <w:rPr>
                <w:rFonts w:asciiTheme="minorHAnsi" w:hAnsiTheme="minorHAnsi" w:cstheme="minorHAnsi"/>
                <w:color w:val="0D0D0D" w:themeColor="text1" w:themeTint="F2"/>
                <w:sz w:val="20"/>
                <w:szCs w:val="20"/>
              </w:rPr>
              <w:t>Te</w:t>
            </w:r>
            <w:proofErr w:type="spellEnd"/>
            <w:r w:rsidR="006440C8" w:rsidRPr="00E27038">
              <w:rPr>
                <w:rFonts w:asciiTheme="minorHAnsi" w:hAnsiTheme="minorHAnsi" w:cstheme="minorHAnsi"/>
                <w:color w:val="0D0D0D" w:themeColor="text1" w:themeTint="F2"/>
                <w:sz w:val="20"/>
                <w:szCs w:val="20"/>
              </w:rPr>
              <w:t xml:space="preserve"> ORA</w:t>
            </w:r>
            <w:r w:rsidR="002852B5" w:rsidRPr="00E27038">
              <w:rPr>
                <w:rFonts w:asciiTheme="minorHAnsi" w:hAnsiTheme="minorHAnsi" w:cstheme="minorHAnsi"/>
                <w:color w:val="0D0D0D" w:themeColor="text1" w:themeTint="F2"/>
                <w:sz w:val="20"/>
                <w:szCs w:val="20"/>
              </w:rPr>
              <w:t xml:space="preserve">) and </w:t>
            </w:r>
            <w:hyperlink r:id="rId9" w:history="1">
              <w:proofErr w:type="spellStart"/>
              <w:r w:rsidR="002852B5" w:rsidRPr="00035B47">
                <w:rPr>
                  <w:rStyle w:val="Hyperlink"/>
                  <w:rFonts w:asciiTheme="minorHAnsi" w:hAnsiTheme="minorHAnsi" w:cstheme="minorHAnsi"/>
                  <w:sz w:val="20"/>
                  <w:szCs w:val="20"/>
                </w:rPr>
                <w:t>Te</w:t>
              </w:r>
              <w:proofErr w:type="spellEnd"/>
              <w:r w:rsidR="002852B5" w:rsidRPr="00035B47">
                <w:rPr>
                  <w:rStyle w:val="Hyperlink"/>
                  <w:rFonts w:asciiTheme="minorHAnsi" w:hAnsiTheme="minorHAnsi" w:cstheme="minorHAnsi"/>
                  <w:sz w:val="20"/>
                  <w:szCs w:val="20"/>
                </w:rPr>
                <w:t xml:space="preserve"> </w:t>
              </w:r>
              <w:proofErr w:type="spellStart"/>
              <w:r w:rsidR="002852B5" w:rsidRPr="00035B47">
                <w:rPr>
                  <w:rStyle w:val="Hyperlink"/>
                  <w:rFonts w:asciiTheme="minorHAnsi" w:hAnsiTheme="minorHAnsi" w:cstheme="minorHAnsi"/>
                  <w:sz w:val="20"/>
                  <w:szCs w:val="20"/>
                </w:rPr>
                <w:t>Rōpū</w:t>
              </w:r>
              <w:proofErr w:type="spellEnd"/>
              <w:r w:rsidR="002852B5" w:rsidRPr="00035B47">
                <w:rPr>
                  <w:rStyle w:val="Hyperlink"/>
                  <w:rFonts w:asciiTheme="minorHAnsi" w:hAnsiTheme="minorHAnsi" w:cstheme="minorHAnsi"/>
                  <w:sz w:val="20"/>
                  <w:szCs w:val="20"/>
                </w:rPr>
                <w:t xml:space="preserve"> </w:t>
              </w:r>
              <w:proofErr w:type="spellStart"/>
              <w:r w:rsidR="002852B5" w:rsidRPr="00035B47">
                <w:rPr>
                  <w:rStyle w:val="Hyperlink"/>
                  <w:rFonts w:asciiTheme="minorHAnsi" w:hAnsiTheme="minorHAnsi" w:cstheme="minorHAnsi"/>
                  <w:sz w:val="20"/>
                  <w:szCs w:val="20"/>
                </w:rPr>
                <w:t>Whakakaupapa</w:t>
              </w:r>
              <w:proofErr w:type="spellEnd"/>
              <w:r w:rsidR="002852B5" w:rsidRPr="00035B47">
                <w:rPr>
                  <w:rStyle w:val="Hyperlink"/>
                  <w:rFonts w:asciiTheme="minorHAnsi" w:hAnsiTheme="minorHAnsi" w:cstheme="minorHAnsi"/>
                  <w:sz w:val="20"/>
                  <w:szCs w:val="20"/>
                </w:rPr>
                <w:t xml:space="preserve"> </w:t>
              </w:r>
              <w:proofErr w:type="spellStart"/>
              <w:r w:rsidR="002852B5" w:rsidRPr="00035B47">
                <w:rPr>
                  <w:rStyle w:val="Hyperlink"/>
                  <w:rFonts w:asciiTheme="minorHAnsi" w:hAnsiTheme="minorHAnsi" w:cstheme="minorHAnsi"/>
                  <w:sz w:val="20"/>
                  <w:szCs w:val="20"/>
                </w:rPr>
                <w:t>Urutā</w:t>
              </w:r>
              <w:proofErr w:type="spellEnd"/>
            </w:hyperlink>
            <w:r w:rsidR="002852B5" w:rsidRPr="00E27038">
              <w:rPr>
                <w:rFonts w:asciiTheme="minorHAnsi" w:hAnsiTheme="minorHAnsi" w:cstheme="minorHAnsi"/>
                <w:color w:val="0D0D0D" w:themeColor="text1" w:themeTint="F2"/>
                <w:sz w:val="20"/>
                <w:szCs w:val="20"/>
              </w:rPr>
              <w:t xml:space="preserve"> </w:t>
            </w:r>
            <w:r w:rsidR="006440C8" w:rsidRPr="00E27038">
              <w:rPr>
                <w:rFonts w:asciiTheme="minorHAnsi" w:hAnsiTheme="minorHAnsi" w:cstheme="minorHAnsi"/>
                <w:color w:val="0D0D0D" w:themeColor="text1" w:themeTint="F2"/>
                <w:sz w:val="20"/>
                <w:szCs w:val="20"/>
              </w:rPr>
              <w:t>for guidance as this pandemic progresses</w:t>
            </w:r>
            <w:r w:rsidR="002852B5" w:rsidRPr="00E27038">
              <w:rPr>
                <w:rFonts w:asciiTheme="minorHAnsi" w:hAnsiTheme="minorHAnsi" w:cstheme="minorHAnsi"/>
                <w:color w:val="0D0D0D" w:themeColor="text1" w:themeTint="F2"/>
                <w:sz w:val="20"/>
                <w:szCs w:val="20"/>
              </w:rPr>
              <w:t>, to support equitable health outcomes for Māori</w:t>
            </w:r>
            <w:r w:rsidR="006440C8" w:rsidRPr="00E27038">
              <w:rPr>
                <w:rFonts w:asciiTheme="minorHAnsi" w:hAnsiTheme="minorHAnsi" w:cstheme="minorHAnsi"/>
                <w:color w:val="0D0D0D" w:themeColor="text1" w:themeTint="F2"/>
                <w:sz w:val="20"/>
                <w:szCs w:val="20"/>
              </w:rPr>
              <w:t>.</w:t>
            </w:r>
          </w:p>
          <w:p w14:paraId="02FE5ACB" w14:textId="38E3A8D1" w:rsidR="00831325" w:rsidRPr="00E27038" w:rsidRDefault="00831325" w:rsidP="000758DB">
            <w:pPr>
              <w:pStyle w:val="paragraph"/>
              <w:rPr>
                <w:rFonts w:asciiTheme="minorHAnsi" w:hAnsiTheme="minorHAnsi" w:cstheme="minorHAnsi"/>
                <w:color w:val="0D0D0D" w:themeColor="text1" w:themeTint="F2"/>
                <w:sz w:val="20"/>
                <w:szCs w:val="20"/>
              </w:rPr>
            </w:pPr>
            <w:r>
              <w:rPr>
                <w:rFonts w:asciiTheme="minorHAnsi" w:hAnsiTheme="minorHAnsi" w:cstheme="minorHAnsi"/>
                <w:color w:val="0D0D0D" w:themeColor="text1" w:themeTint="F2"/>
                <w:sz w:val="20"/>
                <w:szCs w:val="20"/>
              </w:rPr>
              <w:t xml:space="preserve">This statement has been considered by all </w:t>
            </w:r>
            <w:r w:rsidR="0048105B">
              <w:rPr>
                <w:rFonts w:asciiTheme="minorHAnsi" w:hAnsiTheme="minorHAnsi" w:cstheme="minorHAnsi"/>
                <w:color w:val="0D0D0D" w:themeColor="text1" w:themeTint="F2"/>
                <w:sz w:val="20"/>
                <w:szCs w:val="20"/>
              </w:rPr>
              <w:t xml:space="preserve">CMC </w:t>
            </w:r>
            <w:r>
              <w:rPr>
                <w:rFonts w:asciiTheme="minorHAnsi" w:hAnsiTheme="minorHAnsi" w:cstheme="minorHAnsi"/>
                <w:color w:val="0D0D0D" w:themeColor="text1" w:themeTint="F2"/>
                <w:sz w:val="20"/>
                <w:szCs w:val="20"/>
              </w:rPr>
              <w:t>members and has the support of the majority</w:t>
            </w:r>
            <w:r w:rsidR="002A0FA3">
              <w:rPr>
                <w:rFonts w:asciiTheme="minorHAnsi" w:hAnsiTheme="minorHAnsi" w:cstheme="minorHAnsi"/>
                <w:color w:val="0D0D0D" w:themeColor="text1" w:themeTint="F2"/>
                <w:sz w:val="20"/>
                <w:szCs w:val="20"/>
              </w:rPr>
              <w:t xml:space="preserve"> of colleges</w:t>
            </w:r>
            <w:r>
              <w:rPr>
                <w:rFonts w:asciiTheme="minorHAnsi" w:hAnsiTheme="minorHAnsi" w:cstheme="minorHAnsi"/>
                <w:color w:val="0D0D0D" w:themeColor="text1" w:themeTint="F2"/>
                <w:sz w:val="20"/>
                <w:szCs w:val="20"/>
              </w:rPr>
              <w:t xml:space="preserve">. </w:t>
            </w:r>
          </w:p>
          <w:p w14:paraId="53034BE3" w14:textId="77777777" w:rsidR="000758DB" w:rsidRPr="00E27038" w:rsidRDefault="000758DB" w:rsidP="000758DB">
            <w:pPr>
              <w:pStyle w:val="Body"/>
              <w:spacing w:after="0" w:line="240" w:lineRule="auto"/>
              <w:outlineLvl w:val="2"/>
              <w:rPr>
                <w:rFonts w:asciiTheme="minorHAnsi" w:hAnsiTheme="minorHAnsi" w:cstheme="minorHAnsi"/>
                <w:b/>
                <w:bCs/>
                <w:color w:val="0D0D0D" w:themeColor="text1" w:themeTint="F2"/>
                <w:sz w:val="20"/>
                <w:szCs w:val="20"/>
              </w:rPr>
            </w:pPr>
            <w:r w:rsidRPr="00E27038">
              <w:rPr>
                <w:rFonts w:asciiTheme="minorHAnsi" w:hAnsiTheme="minorHAnsi" w:cstheme="minorHAnsi"/>
                <w:b/>
                <w:bCs/>
                <w:color w:val="0D0D0D" w:themeColor="text1" w:themeTint="F2"/>
                <w:sz w:val="20"/>
                <w:szCs w:val="20"/>
              </w:rPr>
              <w:t xml:space="preserve">The </w:t>
            </w:r>
            <w:hyperlink r:id="rId10" w:history="1">
              <w:r w:rsidRPr="00E27038">
                <w:rPr>
                  <w:rStyle w:val="Hyperlink0"/>
                  <w:rFonts w:asciiTheme="minorHAnsi" w:hAnsiTheme="minorHAnsi" w:cstheme="minorHAnsi"/>
                  <w:color w:val="0D0D0D" w:themeColor="text1" w:themeTint="F2"/>
                  <w:sz w:val="20"/>
                  <w:szCs w:val="20"/>
                </w:rPr>
                <w:t>Council of Medical Colleges</w:t>
              </w:r>
            </w:hyperlink>
            <w:r w:rsidRPr="00E27038">
              <w:rPr>
                <w:rFonts w:asciiTheme="minorHAnsi" w:hAnsiTheme="minorHAnsi" w:cstheme="minorHAnsi"/>
                <w:b/>
                <w:bCs/>
                <w:color w:val="0D0D0D" w:themeColor="text1" w:themeTint="F2"/>
                <w:sz w:val="20"/>
                <w:szCs w:val="20"/>
              </w:rPr>
              <w:t xml:space="preserve"> (CMC) is the </w:t>
            </w:r>
            <w:proofErr w:type="spellStart"/>
            <w:r w:rsidRPr="00E27038">
              <w:rPr>
                <w:rFonts w:asciiTheme="minorHAnsi" w:hAnsiTheme="minorHAnsi" w:cstheme="minorHAnsi"/>
                <w:b/>
                <w:bCs/>
                <w:color w:val="0D0D0D" w:themeColor="text1" w:themeTint="F2"/>
                <w:sz w:val="20"/>
                <w:szCs w:val="20"/>
              </w:rPr>
              <w:t>recognised</w:t>
            </w:r>
            <w:proofErr w:type="spellEnd"/>
            <w:r w:rsidRPr="00E27038">
              <w:rPr>
                <w:rFonts w:asciiTheme="minorHAnsi" w:hAnsiTheme="minorHAnsi" w:cstheme="minorHAnsi"/>
                <w:b/>
                <w:bCs/>
                <w:color w:val="0D0D0D" w:themeColor="text1" w:themeTint="F2"/>
                <w:sz w:val="20"/>
                <w:szCs w:val="20"/>
              </w:rPr>
              <w:t>, trusted and authoritative collective voice for the Medical Colleges in New Zealand. It represents fifteen Medical Colleges who provide support to more than 7000 medical practitioners working in 36 vocational scopes/specialties in the New Zealand health system. CMC supports the provision of a well-trained and safe medical workforce to serve the best interests of the New Zealand community.</w:t>
            </w:r>
          </w:p>
          <w:p w14:paraId="40833103" w14:textId="77777777" w:rsidR="000758DB" w:rsidRPr="00E27038" w:rsidRDefault="000758DB" w:rsidP="000758DB">
            <w:pPr>
              <w:pStyle w:val="Body"/>
              <w:spacing w:after="0" w:line="240" w:lineRule="auto"/>
              <w:outlineLvl w:val="2"/>
              <w:rPr>
                <w:rFonts w:asciiTheme="minorHAnsi" w:hAnsiTheme="minorHAnsi" w:cstheme="minorHAnsi"/>
                <w:b/>
                <w:bCs/>
                <w:color w:val="0D0D0D" w:themeColor="text1" w:themeTint="F2"/>
                <w:sz w:val="20"/>
                <w:szCs w:val="20"/>
              </w:rPr>
            </w:pPr>
          </w:p>
          <w:p w14:paraId="7A58FA7A" w14:textId="23ABC614" w:rsidR="000758DB" w:rsidRPr="0011163F" w:rsidRDefault="000758DB" w:rsidP="000758DB">
            <w:pPr>
              <w:pStyle w:val="Body"/>
              <w:spacing w:after="0" w:line="240" w:lineRule="auto"/>
              <w:outlineLvl w:val="2"/>
              <w:rPr>
                <w:rFonts w:asciiTheme="minorHAnsi" w:hAnsiTheme="minorHAnsi" w:cstheme="minorHAnsi"/>
                <w:b/>
                <w:bCs/>
                <w:color w:val="0D0D0D" w:themeColor="text1" w:themeTint="F2"/>
                <w:sz w:val="20"/>
                <w:szCs w:val="20"/>
              </w:rPr>
            </w:pPr>
            <w:r w:rsidRPr="00E27038">
              <w:rPr>
                <w:rFonts w:asciiTheme="minorHAnsi" w:hAnsiTheme="minorHAnsi" w:cstheme="minorHAnsi"/>
                <w:b/>
                <w:bCs/>
                <w:color w:val="0D0D0D" w:themeColor="text1" w:themeTint="F2"/>
                <w:sz w:val="20"/>
                <w:szCs w:val="20"/>
              </w:rPr>
              <w:t xml:space="preserve">For more information or to organise an interview with Dr Bonning please </w:t>
            </w:r>
            <w:proofErr w:type="gramStart"/>
            <w:r w:rsidRPr="00E27038">
              <w:rPr>
                <w:rFonts w:asciiTheme="minorHAnsi" w:hAnsiTheme="minorHAnsi" w:cstheme="minorHAnsi"/>
                <w:b/>
                <w:bCs/>
                <w:color w:val="0D0D0D" w:themeColor="text1" w:themeTint="F2"/>
                <w:sz w:val="20"/>
                <w:szCs w:val="20"/>
              </w:rPr>
              <w:t>contact:</w:t>
            </w:r>
            <w:proofErr w:type="gramEnd"/>
            <w:r w:rsidRPr="00E27038">
              <w:rPr>
                <w:rFonts w:asciiTheme="minorHAnsi" w:hAnsiTheme="minorHAnsi" w:cstheme="minorHAnsi"/>
                <w:b/>
                <w:bCs/>
                <w:color w:val="0D0D0D" w:themeColor="text1" w:themeTint="F2"/>
                <w:sz w:val="20"/>
                <w:szCs w:val="20"/>
              </w:rPr>
              <w:t xml:space="preserve">  </w:t>
            </w:r>
            <w:r w:rsidR="0011163F">
              <w:rPr>
                <w:rFonts w:asciiTheme="minorHAnsi" w:hAnsiTheme="minorHAnsi" w:cstheme="minorHAnsi"/>
                <w:b/>
                <w:bCs/>
                <w:color w:val="0D0D0D" w:themeColor="text1" w:themeTint="F2"/>
                <w:sz w:val="20"/>
                <w:szCs w:val="20"/>
              </w:rPr>
              <w:t xml:space="preserve">Virginia Mills on 021 124 9402 </w:t>
            </w:r>
          </w:p>
          <w:p w14:paraId="276802C9" w14:textId="77777777" w:rsidR="007E1F29" w:rsidRPr="00143F86" w:rsidRDefault="007E1F29" w:rsidP="000758DB">
            <w:pPr>
              <w:pStyle w:val="Body"/>
              <w:spacing w:after="0"/>
              <w:ind w:left="317"/>
            </w:pPr>
          </w:p>
        </w:tc>
      </w:tr>
    </w:tbl>
    <w:p w14:paraId="0D87AF9B" w14:textId="77777777" w:rsidR="00CE7C61" w:rsidRDefault="00CE7C61" w:rsidP="00856AD3">
      <w:pPr>
        <w:tabs>
          <w:tab w:val="left" w:pos="3707"/>
        </w:tabs>
      </w:pPr>
    </w:p>
    <w:sectPr w:rsidR="00CE7C61" w:rsidSect="00ED162D">
      <w:headerReference w:type="even" r:id="rId11"/>
      <w:headerReference w:type="default" r:id="rId12"/>
      <w:footerReference w:type="even" r:id="rId13"/>
      <w:footerReference w:type="default" r:id="rId14"/>
      <w:headerReference w:type="first" r:id="rId15"/>
      <w:footerReference w:type="first" r:id="rId16"/>
      <w:pgSz w:w="11906" w:h="16838"/>
      <w:pgMar w:top="800" w:right="1440" w:bottom="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E7876" w14:textId="77777777" w:rsidR="004A4262" w:rsidRDefault="004A4262" w:rsidP="000D1A2A">
      <w:pPr>
        <w:spacing w:after="0" w:line="240" w:lineRule="auto"/>
      </w:pPr>
      <w:r>
        <w:separator/>
      </w:r>
    </w:p>
  </w:endnote>
  <w:endnote w:type="continuationSeparator" w:id="0">
    <w:p w14:paraId="57D413F4" w14:textId="77777777" w:rsidR="004A4262" w:rsidRDefault="004A4262" w:rsidP="000D1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Fira Sans Light">
    <w:altName w:val="Calibri"/>
    <w:panose1 w:val="020B0604020202020204"/>
    <w:charset w:val="00"/>
    <w:family w:val="swiss"/>
    <w:pitch w:val="variable"/>
    <w:sig w:usb0="600002FF" w:usb1="00000001" w:usb2="00000000" w:usb3="00000000" w:csb0="0000019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AACAF" w14:textId="77777777" w:rsidR="004C41D9" w:rsidRDefault="004C4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C0688" w14:textId="77777777" w:rsidR="004C41D9" w:rsidRDefault="004C41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DB474" w14:textId="77777777" w:rsidR="004C41D9" w:rsidRDefault="004C4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82952" w14:textId="77777777" w:rsidR="004A4262" w:rsidRDefault="004A4262" w:rsidP="000D1A2A">
      <w:pPr>
        <w:spacing w:after="0" w:line="240" w:lineRule="auto"/>
      </w:pPr>
      <w:r>
        <w:separator/>
      </w:r>
    </w:p>
  </w:footnote>
  <w:footnote w:type="continuationSeparator" w:id="0">
    <w:p w14:paraId="66ACBE2B" w14:textId="77777777" w:rsidR="004A4262" w:rsidRDefault="004A4262" w:rsidP="000D1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5127E" w14:textId="77777777" w:rsidR="004C41D9" w:rsidRDefault="004C4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646BD" w14:textId="54A6BB3F" w:rsidR="004C41D9" w:rsidRDefault="004C4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169D6" w14:textId="77777777" w:rsidR="004C41D9" w:rsidRDefault="004C4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D4737"/>
    <w:multiLevelType w:val="hybridMultilevel"/>
    <w:tmpl w:val="9FF86FA4"/>
    <w:lvl w:ilvl="0" w:tplc="0C090019">
      <w:start w:val="1"/>
      <w:numFmt w:val="lowerLetter"/>
      <w:lvlText w:val="%1."/>
      <w:lvlJc w:val="left"/>
      <w:pPr>
        <w:ind w:left="930" w:hanging="570"/>
      </w:pPr>
      <w:rPr>
        <w:rFonts w:hint="default"/>
      </w:rPr>
    </w:lvl>
    <w:lvl w:ilvl="1" w:tplc="980EB8E6">
      <w:numFmt w:val="bullet"/>
      <w:lvlText w:val="•"/>
      <w:lvlJc w:val="left"/>
      <w:pPr>
        <w:ind w:left="1650" w:hanging="570"/>
      </w:pPr>
      <w:rPr>
        <w:rFonts w:ascii="Fira Sans Light" w:eastAsia="Times New Roman" w:hAnsi="Fira Sans Light"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D14677"/>
    <w:multiLevelType w:val="hybridMultilevel"/>
    <w:tmpl w:val="EDBCC3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DE85F1D"/>
    <w:multiLevelType w:val="hybridMultilevel"/>
    <w:tmpl w:val="444A1B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9ED680E"/>
    <w:multiLevelType w:val="hybridMultilevel"/>
    <w:tmpl w:val="81AAD7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9A867A0"/>
    <w:multiLevelType w:val="hybridMultilevel"/>
    <w:tmpl w:val="D32AB0C4"/>
    <w:lvl w:ilvl="0" w:tplc="1409000F">
      <w:start w:val="1"/>
      <w:numFmt w:val="decimal"/>
      <w:lvlText w:val="%1."/>
      <w:lvlJc w:val="left"/>
      <w:pPr>
        <w:ind w:left="502" w:hanging="360"/>
      </w:pPr>
      <w:rPr>
        <w:rFonts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5" w15:restartNumberingAfterBreak="0">
    <w:nsid w:val="5DE44991"/>
    <w:multiLevelType w:val="hybridMultilevel"/>
    <w:tmpl w:val="61740E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12"/>
    <w:rsid w:val="00035B47"/>
    <w:rsid w:val="000412D2"/>
    <w:rsid w:val="00057302"/>
    <w:rsid w:val="000758DB"/>
    <w:rsid w:val="000A7ECD"/>
    <w:rsid w:val="000D0253"/>
    <w:rsid w:val="000D1A2A"/>
    <w:rsid w:val="000E3BA8"/>
    <w:rsid w:val="00104F7A"/>
    <w:rsid w:val="0011163F"/>
    <w:rsid w:val="00122AA0"/>
    <w:rsid w:val="0012557F"/>
    <w:rsid w:val="00143F86"/>
    <w:rsid w:val="00197535"/>
    <w:rsid w:val="001B05D5"/>
    <w:rsid w:val="001B44F5"/>
    <w:rsid w:val="001D5FD9"/>
    <w:rsid w:val="001E702F"/>
    <w:rsid w:val="00252098"/>
    <w:rsid w:val="00261965"/>
    <w:rsid w:val="002852B5"/>
    <w:rsid w:val="002A0FA3"/>
    <w:rsid w:val="002B0E96"/>
    <w:rsid w:val="00330E05"/>
    <w:rsid w:val="003D7C9A"/>
    <w:rsid w:val="00430023"/>
    <w:rsid w:val="00430702"/>
    <w:rsid w:val="0043561A"/>
    <w:rsid w:val="00436C8B"/>
    <w:rsid w:val="00450560"/>
    <w:rsid w:val="00456544"/>
    <w:rsid w:val="00460AC7"/>
    <w:rsid w:val="0048105B"/>
    <w:rsid w:val="004A4262"/>
    <w:rsid w:val="004B08B6"/>
    <w:rsid w:val="004C41D9"/>
    <w:rsid w:val="004F76C5"/>
    <w:rsid w:val="00507815"/>
    <w:rsid w:val="0057501F"/>
    <w:rsid w:val="005B1F4A"/>
    <w:rsid w:val="005B5BED"/>
    <w:rsid w:val="005C121E"/>
    <w:rsid w:val="005D1CDB"/>
    <w:rsid w:val="005D6D35"/>
    <w:rsid w:val="00616574"/>
    <w:rsid w:val="006440C8"/>
    <w:rsid w:val="00660247"/>
    <w:rsid w:val="006B102A"/>
    <w:rsid w:val="006F54BF"/>
    <w:rsid w:val="00726DB2"/>
    <w:rsid w:val="007939B4"/>
    <w:rsid w:val="007E1F29"/>
    <w:rsid w:val="0082725F"/>
    <w:rsid w:val="00831325"/>
    <w:rsid w:val="00856AD3"/>
    <w:rsid w:val="008652D5"/>
    <w:rsid w:val="008D3EFC"/>
    <w:rsid w:val="0090385F"/>
    <w:rsid w:val="00947CAC"/>
    <w:rsid w:val="009B3FCF"/>
    <w:rsid w:val="009D74B7"/>
    <w:rsid w:val="00A51893"/>
    <w:rsid w:val="00A92444"/>
    <w:rsid w:val="00AA1343"/>
    <w:rsid w:val="00AE106A"/>
    <w:rsid w:val="00AE64F0"/>
    <w:rsid w:val="00B30F6A"/>
    <w:rsid w:val="00B339D7"/>
    <w:rsid w:val="00B43A7C"/>
    <w:rsid w:val="00B44C16"/>
    <w:rsid w:val="00B501AF"/>
    <w:rsid w:val="00BD3089"/>
    <w:rsid w:val="00BF4A9C"/>
    <w:rsid w:val="00C14332"/>
    <w:rsid w:val="00C2246D"/>
    <w:rsid w:val="00C23A8A"/>
    <w:rsid w:val="00C37AE6"/>
    <w:rsid w:val="00C774DF"/>
    <w:rsid w:val="00C946F7"/>
    <w:rsid w:val="00CE7C61"/>
    <w:rsid w:val="00CF211B"/>
    <w:rsid w:val="00D01AAE"/>
    <w:rsid w:val="00D207A2"/>
    <w:rsid w:val="00D567FC"/>
    <w:rsid w:val="00DB3312"/>
    <w:rsid w:val="00DC7814"/>
    <w:rsid w:val="00DF1EB0"/>
    <w:rsid w:val="00E27038"/>
    <w:rsid w:val="00E463B5"/>
    <w:rsid w:val="00E47DC8"/>
    <w:rsid w:val="00E87687"/>
    <w:rsid w:val="00EB03E3"/>
    <w:rsid w:val="00EB3F77"/>
    <w:rsid w:val="00EC1DD6"/>
    <w:rsid w:val="00ED162D"/>
    <w:rsid w:val="00ED4F7B"/>
    <w:rsid w:val="00F02CF5"/>
    <w:rsid w:val="00F5269B"/>
    <w:rsid w:val="00F8545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3EE63"/>
  <w15:docId w15:val="{3E889508-FD3F-401B-9B49-7D4C5FA8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B3312"/>
    <w:pPr>
      <w:spacing w:after="0" w:line="240" w:lineRule="auto"/>
    </w:pPr>
    <w:rPr>
      <w:lang w:val="en-US" w:bidi="en-US"/>
    </w:rPr>
  </w:style>
  <w:style w:type="character" w:customStyle="1" w:styleId="NoSpacingChar">
    <w:name w:val="No Spacing Char"/>
    <w:basedOn w:val="DefaultParagraphFont"/>
    <w:link w:val="NoSpacing"/>
    <w:uiPriority w:val="1"/>
    <w:rsid w:val="00DB3312"/>
    <w:rPr>
      <w:lang w:val="en-US" w:bidi="en-US"/>
    </w:rPr>
  </w:style>
  <w:style w:type="paragraph" w:styleId="Title">
    <w:name w:val="Title"/>
    <w:basedOn w:val="Normal"/>
    <w:next w:val="Normal"/>
    <w:link w:val="TitleChar"/>
    <w:uiPriority w:val="10"/>
    <w:qFormat/>
    <w:rsid w:val="00DB33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bidi="en-US"/>
    </w:rPr>
  </w:style>
  <w:style w:type="character" w:customStyle="1" w:styleId="TitleChar">
    <w:name w:val="Title Char"/>
    <w:basedOn w:val="DefaultParagraphFont"/>
    <w:link w:val="Title"/>
    <w:uiPriority w:val="10"/>
    <w:rsid w:val="00DB3312"/>
    <w:rPr>
      <w:rFonts w:asciiTheme="majorHAnsi" w:eastAsiaTheme="majorEastAsia" w:hAnsiTheme="majorHAnsi" w:cstheme="majorBidi"/>
      <w:color w:val="17365D" w:themeColor="text2" w:themeShade="BF"/>
      <w:spacing w:val="5"/>
      <w:kern w:val="28"/>
      <w:sz w:val="52"/>
      <w:szCs w:val="52"/>
      <w:lang w:val="en-GB" w:bidi="en-US"/>
    </w:rPr>
  </w:style>
  <w:style w:type="character" w:styleId="Hyperlink">
    <w:name w:val="Hyperlink"/>
    <w:basedOn w:val="DefaultParagraphFont"/>
    <w:uiPriority w:val="99"/>
    <w:unhideWhenUsed/>
    <w:rsid w:val="00DB3312"/>
    <w:rPr>
      <w:color w:val="0000FF" w:themeColor="hyperlink"/>
      <w:u w:val="single"/>
    </w:rPr>
  </w:style>
  <w:style w:type="paragraph" w:styleId="BalloonText">
    <w:name w:val="Balloon Text"/>
    <w:basedOn w:val="Normal"/>
    <w:link w:val="BalloonTextChar"/>
    <w:uiPriority w:val="99"/>
    <w:semiHidden/>
    <w:unhideWhenUsed/>
    <w:rsid w:val="00BF4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A9C"/>
    <w:rPr>
      <w:rFonts w:ascii="Tahoma" w:hAnsi="Tahoma" w:cs="Tahoma"/>
      <w:sz w:val="16"/>
      <w:szCs w:val="16"/>
    </w:rPr>
  </w:style>
  <w:style w:type="table" w:styleId="TableGrid">
    <w:name w:val="Table Grid"/>
    <w:basedOn w:val="TableNormal"/>
    <w:uiPriority w:val="59"/>
    <w:rsid w:val="006F54B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1A2A"/>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ody">
    <w:name w:val="Body"/>
    <w:rsid w:val="000D1A2A"/>
    <w:pPr>
      <w:pBdr>
        <w:top w:val="nil"/>
        <w:left w:val="nil"/>
        <w:bottom w:val="nil"/>
        <w:right w:val="nil"/>
        <w:between w:val="nil"/>
        <w:bar w:val="nil"/>
      </w:pBdr>
    </w:pPr>
    <w:rPr>
      <w:rFonts w:ascii="Calibri" w:eastAsia="Calibri" w:hAnsi="Calibri" w:cs="Calibri"/>
      <w:color w:val="000000"/>
      <w:u w:color="000000"/>
      <w:bdr w:val="nil"/>
      <w:lang w:val="en-US" w:eastAsia="en-AU"/>
    </w:rPr>
  </w:style>
  <w:style w:type="character" w:customStyle="1" w:styleId="Hyperlink0">
    <w:name w:val="Hyperlink.0"/>
    <w:basedOn w:val="Hyperlink"/>
    <w:rsid w:val="000D1A2A"/>
    <w:rPr>
      <w:color w:val="0000FF"/>
      <w:u w:val="single" w:color="0000FF"/>
    </w:rPr>
  </w:style>
  <w:style w:type="paragraph" w:styleId="ListParagraph">
    <w:name w:val="List Paragraph"/>
    <w:aliases w:val="Bullet Normal"/>
    <w:basedOn w:val="Normal"/>
    <w:link w:val="ListParagraphChar"/>
    <w:uiPriority w:val="34"/>
    <w:qFormat/>
    <w:rsid w:val="000D1A2A"/>
    <w:pPr>
      <w:ind w:left="720"/>
      <w:contextualSpacing/>
    </w:pPr>
    <w:rPr>
      <w:rFonts w:eastAsiaTheme="minorHAnsi"/>
      <w:lang w:eastAsia="en-US" w:bidi="en-US"/>
    </w:rPr>
  </w:style>
  <w:style w:type="character" w:customStyle="1" w:styleId="ListParagraphChar">
    <w:name w:val="List Paragraph Char"/>
    <w:aliases w:val="Bullet Normal Char"/>
    <w:basedOn w:val="DefaultParagraphFont"/>
    <w:link w:val="ListParagraph"/>
    <w:uiPriority w:val="34"/>
    <w:rsid w:val="000D1A2A"/>
    <w:rPr>
      <w:rFonts w:eastAsiaTheme="minorHAnsi"/>
      <w:lang w:eastAsia="en-US" w:bidi="en-US"/>
    </w:rPr>
  </w:style>
  <w:style w:type="paragraph" w:styleId="FootnoteText">
    <w:name w:val="footnote text"/>
    <w:basedOn w:val="Normal"/>
    <w:link w:val="FootnoteTextChar"/>
    <w:uiPriority w:val="99"/>
    <w:semiHidden/>
    <w:unhideWhenUsed/>
    <w:rsid w:val="000D1A2A"/>
    <w:pPr>
      <w:spacing w:after="0" w:line="240" w:lineRule="auto"/>
    </w:pPr>
    <w:rPr>
      <w:rFonts w:eastAsiaTheme="minorHAnsi"/>
      <w:sz w:val="20"/>
      <w:szCs w:val="20"/>
      <w:lang w:eastAsia="en-US" w:bidi="en-US"/>
    </w:rPr>
  </w:style>
  <w:style w:type="character" w:customStyle="1" w:styleId="FootnoteTextChar">
    <w:name w:val="Footnote Text Char"/>
    <w:basedOn w:val="DefaultParagraphFont"/>
    <w:link w:val="FootnoteText"/>
    <w:uiPriority w:val="99"/>
    <w:semiHidden/>
    <w:rsid w:val="000D1A2A"/>
    <w:rPr>
      <w:rFonts w:eastAsiaTheme="minorHAnsi"/>
      <w:sz w:val="20"/>
      <w:szCs w:val="20"/>
      <w:lang w:eastAsia="en-US" w:bidi="en-US"/>
    </w:rPr>
  </w:style>
  <w:style w:type="character" w:styleId="FootnoteReference">
    <w:name w:val="footnote reference"/>
    <w:basedOn w:val="DefaultParagraphFont"/>
    <w:uiPriority w:val="99"/>
    <w:semiHidden/>
    <w:unhideWhenUsed/>
    <w:rsid w:val="000D1A2A"/>
    <w:rPr>
      <w:vertAlign w:val="superscript"/>
    </w:rPr>
  </w:style>
  <w:style w:type="paragraph" w:styleId="PlainText">
    <w:name w:val="Plain Text"/>
    <w:basedOn w:val="Normal"/>
    <w:link w:val="PlainTextChar"/>
    <w:uiPriority w:val="99"/>
    <w:unhideWhenUsed/>
    <w:rsid w:val="000D1A2A"/>
    <w:pPr>
      <w:spacing w:after="0" w:line="240" w:lineRule="auto"/>
    </w:pPr>
    <w:rPr>
      <w:rFonts w:ascii="Consolas" w:eastAsiaTheme="minorHAnsi" w:hAnsi="Consolas"/>
      <w:sz w:val="21"/>
      <w:szCs w:val="21"/>
      <w:lang w:eastAsia="en-US"/>
    </w:rPr>
  </w:style>
  <w:style w:type="character" w:customStyle="1" w:styleId="PlainTextChar">
    <w:name w:val="Plain Text Char"/>
    <w:basedOn w:val="DefaultParagraphFont"/>
    <w:link w:val="PlainText"/>
    <w:uiPriority w:val="99"/>
    <w:rsid w:val="000D1A2A"/>
    <w:rPr>
      <w:rFonts w:ascii="Consolas" w:eastAsiaTheme="minorHAnsi" w:hAnsi="Consolas"/>
      <w:sz w:val="21"/>
      <w:szCs w:val="21"/>
      <w:lang w:eastAsia="en-US"/>
    </w:rPr>
  </w:style>
  <w:style w:type="paragraph" w:styleId="BodyText">
    <w:name w:val="Body Text"/>
    <w:basedOn w:val="Normal"/>
    <w:link w:val="BodyTextChar"/>
    <w:qFormat/>
    <w:rsid w:val="00BD3089"/>
    <w:pPr>
      <w:tabs>
        <w:tab w:val="left" w:pos="567"/>
      </w:tabs>
      <w:spacing w:after="0" w:line="240" w:lineRule="auto"/>
    </w:pPr>
    <w:rPr>
      <w:rFonts w:ascii="Fira Sans Light" w:eastAsia="Times New Roman" w:hAnsi="Fira Sans Light" w:cs="Times New Roman"/>
      <w:sz w:val="20"/>
      <w:szCs w:val="20"/>
      <w:lang w:val="en-AU" w:eastAsia="en-AU"/>
    </w:rPr>
  </w:style>
  <w:style w:type="character" w:customStyle="1" w:styleId="BodyTextChar">
    <w:name w:val="Body Text Char"/>
    <w:basedOn w:val="DefaultParagraphFont"/>
    <w:link w:val="BodyText"/>
    <w:rsid w:val="00BD3089"/>
    <w:rPr>
      <w:rFonts w:ascii="Fira Sans Light" w:eastAsia="Times New Roman" w:hAnsi="Fira Sans Light" w:cs="Times New Roman"/>
      <w:sz w:val="20"/>
      <w:szCs w:val="20"/>
      <w:lang w:val="en-AU" w:eastAsia="en-AU"/>
    </w:rPr>
  </w:style>
  <w:style w:type="character" w:styleId="UnresolvedMention">
    <w:name w:val="Unresolved Mention"/>
    <w:basedOn w:val="DefaultParagraphFont"/>
    <w:uiPriority w:val="99"/>
    <w:semiHidden/>
    <w:unhideWhenUsed/>
    <w:rsid w:val="00104F7A"/>
    <w:rPr>
      <w:color w:val="605E5C"/>
      <w:shd w:val="clear" w:color="auto" w:fill="E1DFDD"/>
    </w:rPr>
  </w:style>
  <w:style w:type="paragraph" w:customStyle="1" w:styleId="paragraph">
    <w:name w:val="paragraph"/>
    <w:rsid w:val="000758DB"/>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GB"/>
    </w:rPr>
  </w:style>
  <w:style w:type="paragraph" w:styleId="Header">
    <w:name w:val="header"/>
    <w:basedOn w:val="Normal"/>
    <w:link w:val="HeaderChar"/>
    <w:uiPriority w:val="99"/>
    <w:unhideWhenUsed/>
    <w:rsid w:val="004C41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1D9"/>
  </w:style>
  <w:style w:type="paragraph" w:styleId="Footer">
    <w:name w:val="footer"/>
    <w:basedOn w:val="Normal"/>
    <w:link w:val="FooterChar"/>
    <w:uiPriority w:val="99"/>
    <w:unhideWhenUsed/>
    <w:rsid w:val="004C41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127146">
      <w:bodyDiv w:val="1"/>
      <w:marLeft w:val="0"/>
      <w:marRight w:val="0"/>
      <w:marTop w:val="0"/>
      <w:marBottom w:val="0"/>
      <w:divBdr>
        <w:top w:val="none" w:sz="0" w:space="0" w:color="auto"/>
        <w:left w:val="none" w:sz="0" w:space="0" w:color="auto"/>
        <w:bottom w:val="none" w:sz="0" w:space="0" w:color="auto"/>
        <w:right w:val="none" w:sz="0" w:space="0" w:color="auto"/>
      </w:divBdr>
    </w:div>
    <w:div w:id="186813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ora.maori.nz/abou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mc.org.nz/"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uruta.maori.n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062AA628E6AB4489872ACCCB1234159" ma:contentTypeVersion="12" ma:contentTypeDescription="Create a new document." ma:contentTypeScope="" ma:versionID="5799cdfbb3de3a3738376d02ae17b6d2">
  <xsd:schema xmlns:xsd="http://www.w3.org/2001/XMLSchema" xmlns:xs="http://www.w3.org/2001/XMLSchema" xmlns:p="http://schemas.microsoft.com/office/2006/metadata/properties" xmlns:ns2="806ee3a2-c9c5-4071-a1be-6629100c4ab8" xmlns:ns3="c8a3491b-d235-4993-a6a3-9cc8cd860097" targetNamespace="http://schemas.microsoft.com/office/2006/metadata/properties" ma:root="true" ma:fieldsID="8bd267a43ab812d6b691be07525f68ba" ns2:_="" ns3:_="">
    <xsd:import namespace="806ee3a2-c9c5-4071-a1be-6629100c4ab8"/>
    <xsd:import namespace="c8a3491b-d235-4993-a6a3-9cc8cd8600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ee3a2-c9c5-4071-a1be-6629100c4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a3491b-d235-4993-a6a3-9cc8cd8600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8a3491b-d235-4993-a6a3-9cc8cd860097">
      <UserInfo>
        <DisplayName/>
        <AccountId xsi:nil="true"/>
        <AccountType/>
      </UserInfo>
    </SharedWithUsers>
  </documentManagement>
</p:properties>
</file>

<file path=customXml/itemProps1.xml><?xml version="1.0" encoding="utf-8"?>
<ds:datastoreItem xmlns:ds="http://schemas.openxmlformats.org/officeDocument/2006/customXml" ds:itemID="{EB57E41A-47DA-4622-8940-8315CB614B3A}">
  <ds:schemaRefs>
    <ds:schemaRef ds:uri="http://schemas.openxmlformats.org/officeDocument/2006/bibliography"/>
  </ds:schemaRefs>
</ds:datastoreItem>
</file>

<file path=customXml/itemProps2.xml><?xml version="1.0" encoding="utf-8"?>
<ds:datastoreItem xmlns:ds="http://schemas.openxmlformats.org/officeDocument/2006/customXml" ds:itemID="{5A16125C-385E-4BD6-8D91-3ED2526515CA}"/>
</file>

<file path=customXml/itemProps3.xml><?xml version="1.0" encoding="utf-8"?>
<ds:datastoreItem xmlns:ds="http://schemas.openxmlformats.org/officeDocument/2006/customXml" ds:itemID="{7BF9996A-9B23-4E6B-97E0-F543C037913F}"/>
</file>

<file path=customXml/itemProps4.xml><?xml version="1.0" encoding="utf-8"?>
<ds:datastoreItem xmlns:ds="http://schemas.openxmlformats.org/officeDocument/2006/customXml" ds:itemID="{0E414D67-1D4A-49A1-B1BF-C17D65933AE3}"/>
</file>

<file path=docProps/app.xml><?xml version="1.0" encoding="utf-8"?>
<Properties xmlns="http://schemas.openxmlformats.org/officeDocument/2006/extended-properties" xmlns:vt="http://schemas.openxmlformats.org/officeDocument/2006/docPropsVTypes">
  <Template>Normal.dotm</Template>
  <TotalTime>2</TotalTime>
  <Pages>2</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Jesse</dc:creator>
  <cp:lastModifiedBy>Virginia Mills</cp:lastModifiedBy>
  <cp:revision>3</cp:revision>
  <cp:lastPrinted>2019-12-04T19:04:00Z</cp:lastPrinted>
  <dcterms:created xsi:type="dcterms:W3CDTF">2020-06-10T03:11:00Z</dcterms:created>
  <dcterms:modified xsi:type="dcterms:W3CDTF">2020-06-10T08:30:00Z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0x010100A062AA628E6AB4489872ACCCB1234159</vt:lpwstr>
  </property>
  <property fmtid="{D5CDD505-2E9C-101B-9397-08002B2CF9AE}" pid="3" name="Order">
    <vt:r8>33500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